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01F5" w:rsidRDefault="0074563E">
      <w:pPr>
        <w:spacing w:line="276" w:lineRule="auto"/>
        <w:jc w:val="center"/>
        <w:rPr>
          <w:rFonts w:ascii="Arial" w:eastAsia="Arial" w:hAnsi="Arial" w:cs="Arial"/>
          <w:sz w:val="22"/>
          <w:szCs w:val="22"/>
        </w:rPr>
      </w:pPr>
      <w:bookmarkStart w:id="0" w:name="_GoBack"/>
      <w:bookmarkEnd w:id="0"/>
      <w:r>
        <w:rPr>
          <w:noProof/>
          <w:lang w:val="es-419"/>
        </w:rPr>
        <w:drawing>
          <wp:anchor distT="0" distB="0" distL="114300" distR="114300" simplePos="0" relativeHeight="251658240" behindDoc="1" locked="0" layoutInCell="1" allowOverlap="1">
            <wp:simplePos x="0" y="0"/>
            <wp:positionH relativeFrom="column">
              <wp:posOffset>3834765</wp:posOffset>
            </wp:positionH>
            <wp:positionV relativeFrom="paragraph">
              <wp:posOffset>-163195</wp:posOffset>
            </wp:positionV>
            <wp:extent cx="2512352" cy="746760"/>
            <wp:effectExtent l="0" t="0" r="254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05740" cy="774518"/>
                    </a:xfrm>
                    <a:prstGeom prst="rect">
                      <a:avLst/>
                    </a:prstGeom>
                  </pic:spPr>
                </pic:pic>
              </a:graphicData>
            </a:graphic>
            <wp14:sizeRelH relativeFrom="margin">
              <wp14:pctWidth>0</wp14:pctWidth>
            </wp14:sizeRelH>
            <wp14:sizeRelV relativeFrom="margin">
              <wp14:pctHeight>0</wp14:pctHeight>
            </wp14:sizeRelV>
          </wp:anchor>
        </w:drawing>
      </w:r>
      <w:r w:rsidR="000D1D32">
        <w:rPr>
          <w:rFonts w:ascii="Arial" w:eastAsia="Arial" w:hAnsi="Arial" w:cs="Arial"/>
          <w:b/>
          <w:sz w:val="22"/>
          <w:szCs w:val="22"/>
        </w:rPr>
        <w:t>MEMORANDO</w:t>
      </w:r>
      <w:r w:rsidR="000D1D32">
        <w:rPr>
          <w:rFonts w:ascii="Arial" w:eastAsia="Arial" w:hAnsi="Arial" w:cs="Arial"/>
          <w:sz w:val="22"/>
          <w:szCs w:val="22"/>
        </w:rPr>
        <w:t xml:space="preserve"> </w:t>
      </w:r>
    </w:p>
    <w:p w:rsidR="003D01F5" w:rsidRDefault="003D01F5">
      <w:pPr>
        <w:spacing w:line="276" w:lineRule="auto"/>
        <w:jc w:val="center"/>
        <w:rPr>
          <w:rFonts w:ascii="Arial" w:eastAsia="Arial" w:hAnsi="Arial" w:cs="Arial"/>
          <w:b/>
          <w:sz w:val="22"/>
          <w:szCs w:val="22"/>
        </w:rPr>
      </w:pPr>
    </w:p>
    <w:p w:rsidR="003D01F5" w:rsidRDefault="000D1D32">
      <w:pPr>
        <w:spacing w:line="276" w:lineRule="auto"/>
        <w:jc w:val="center"/>
        <w:rPr>
          <w:rFonts w:ascii="Arial" w:eastAsia="Arial" w:hAnsi="Arial" w:cs="Arial"/>
          <w:sz w:val="22"/>
          <w:szCs w:val="22"/>
        </w:rPr>
      </w:pPr>
      <w:r>
        <w:rPr>
          <w:rFonts w:ascii="Arial" w:eastAsia="Arial" w:hAnsi="Arial" w:cs="Arial"/>
          <w:sz w:val="22"/>
          <w:szCs w:val="22"/>
        </w:rPr>
        <w:t xml:space="preserve"> </w:t>
      </w:r>
    </w:p>
    <w:p w:rsidR="003D01F5" w:rsidRDefault="000D1D32">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PARA</w:t>
      </w:r>
      <w:r>
        <w:rPr>
          <w:rFonts w:ascii="Arial" w:eastAsia="Arial" w:hAnsi="Arial" w:cs="Arial"/>
          <w:color w:val="000000"/>
          <w:sz w:val="22"/>
          <w:szCs w:val="22"/>
        </w:rPr>
        <w:t xml:space="preserve">:          </w:t>
      </w:r>
      <w:r>
        <w:rPr>
          <w:rFonts w:ascii="Arial" w:eastAsia="Arial" w:hAnsi="Arial" w:cs="Arial"/>
          <w:color w:val="000000"/>
          <w:sz w:val="22"/>
          <w:szCs w:val="22"/>
        </w:rPr>
        <w:tab/>
      </w:r>
      <w:r>
        <w:rPr>
          <w:rFonts w:ascii="Arial" w:eastAsia="Arial" w:hAnsi="Arial" w:cs="Arial"/>
          <w:b/>
          <w:color w:val="000000"/>
          <w:sz w:val="22"/>
          <w:szCs w:val="22"/>
        </w:rPr>
        <w:t>ANDRES GIOVANNI BARRIOS BERNAL</w:t>
      </w:r>
    </w:p>
    <w:p w:rsidR="003D01F5" w:rsidRDefault="000D1D32">
      <w:pPr>
        <w:ind w:left="709" w:firstLine="709"/>
        <w:jc w:val="both"/>
        <w:rPr>
          <w:rFonts w:ascii="Arial" w:eastAsia="Arial" w:hAnsi="Arial" w:cs="Arial"/>
          <w:sz w:val="22"/>
          <w:szCs w:val="22"/>
        </w:rPr>
      </w:pPr>
      <w:r>
        <w:rPr>
          <w:rFonts w:ascii="Arial" w:eastAsia="Arial" w:hAnsi="Arial" w:cs="Arial"/>
          <w:color w:val="000000"/>
          <w:sz w:val="22"/>
          <w:szCs w:val="22"/>
        </w:rPr>
        <w:t>Presidente Comisión Segunda Permanente de Gobierno.</w:t>
      </w:r>
    </w:p>
    <w:p w:rsidR="003D01F5" w:rsidRDefault="003D01F5">
      <w:pPr>
        <w:ind w:left="709" w:firstLine="709"/>
        <w:jc w:val="both"/>
        <w:rPr>
          <w:rFonts w:ascii="Arial" w:eastAsia="Arial" w:hAnsi="Arial" w:cs="Arial"/>
          <w:sz w:val="22"/>
          <w:szCs w:val="22"/>
        </w:rPr>
      </w:pPr>
    </w:p>
    <w:p w:rsidR="003D01F5" w:rsidRDefault="000D1D32">
      <w:pPr>
        <w:spacing w:line="276" w:lineRule="auto"/>
        <w:rPr>
          <w:rFonts w:ascii="Arial" w:eastAsia="Arial" w:hAnsi="Arial" w:cs="Arial"/>
          <w:sz w:val="22"/>
          <w:szCs w:val="22"/>
        </w:rPr>
      </w:pPr>
      <w:r>
        <w:rPr>
          <w:rFonts w:ascii="Arial" w:eastAsia="Arial" w:hAnsi="Arial" w:cs="Arial"/>
          <w:b/>
          <w:sz w:val="22"/>
          <w:szCs w:val="22"/>
        </w:rPr>
        <w:t>DE</w:t>
      </w:r>
      <w:r>
        <w:rPr>
          <w:rFonts w:ascii="Arial" w:eastAsia="Arial" w:hAnsi="Arial" w:cs="Arial"/>
          <w:sz w:val="22"/>
          <w:szCs w:val="22"/>
        </w:rPr>
        <w:t xml:space="preserve">:               </w:t>
      </w:r>
      <w:r>
        <w:rPr>
          <w:rFonts w:ascii="Arial" w:eastAsia="Arial" w:hAnsi="Arial" w:cs="Arial"/>
          <w:sz w:val="22"/>
          <w:szCs w:val="22"/>
        </w:rPr>
        <w:tab/>
        <w:t xml:space="preserve">H.C. RUBÉN DARÍO TORRADO PACHECO </w:t>
      </w:r>
    </w:p>
    <w:p w:rsidR="003D01F5" w:rsidRDefault="000D1D32">
      <w:pPr>
        <w:spacing w:line="276" w:lineRule="auto"/>
        <w:jc w:val="center"/>
        <w:rPr>
          <w:rFonts w:ascii="Arial" w:eastAsia="Arial" w:hAnsi="Arial" w:cs="Arial"/>
          <w:sz w:val="22"/>
          <w:szCs w:val="22"/>
        </w:rPr>
      </w:pPr>
      <w:r>
        <w:rPr>
          <w:rFonts w:ascii="Arial" w:eastAsia="Arial" w:hAnsi="Arial" w:cs="Arial"/>
          <w:sz w:val="22"/>
          <w:szCs w:val="22"/>
        </w:rPr>
        <w:t xml:space="preserve"> </w:t>
      </w:r>
    </w:p>
    <w:p w:rsidR="003D01F5" w:rsidRDefault="000D1D32">
      <w:pPr>
        <w:spacing w:line="276" w:lineRule="auto"/>
        <w:jc w:val="both"/>
        <w:rPr>
          <w:rFonts w:ascii="Arial" w:eastAsia="Arial" w:hAnsi="Arial" w:cs="Arial"/>
          <w:sz w:val="22"/>
          <w:szCs w:val="22"/>
        </w:rPr>
      </w:pPr>
      <w:r>
        <w:rPr>
          <w:rFonts w:ascii="Arial" w:eastAsia="Arial" w:hAnsi="Arial" w:cs="Arial"/>
          <w:b/>
          <w:sz w:val="22"/>
          <w:szCs w:val="22"/>
        </w:rPr>
        <w:t>ASUNTO:</w:t>
      </w:r>
      <w:r>
        <w:rPr>
          <w:rFonts w:ascii="Arial" w:eastAsia="Arial" w:hAnsi="Arial" w:cs="Arial"/>
          <w:sz w:val="22"/>
          <w:szCs w:val="22"/>
        </w:rPr>
        <w:t xml:space="preserve">  </w:t>
      </w:r>
      <w:r>
        <w:rPr>
          <w:rFonts w:ascii="Arial" w:eastAsia="Arial" w:hAnsi="Arial" w:cs="Arial"/>
          <w:sz w:val="22"/>
          <w:szCs w:val="22"/>
        </w:rPr>
        <w:tab/>
        <w:t>Radicación de ponencia al Proyecto de Acuerdo No. 464 de 2025.</w:t>
      </w:r>
    </w:p>
    <w:p w:rsidR="003D01F5" w:rsidRDefault="003D01F5">
      <w:pPr>
        <w:spacing w:line="276" w:lineRule="auto"/>
        <w:jc w:val="both"/>
        <w:rPr>
          <w:rFonts w:ascii="Arial" w:eastAsia="Arial" w:hAnsi="Arial" w:cs="Arial"/>
          <w:sz w:val="22"/>
          <w:szCs w:val="22"/>
        </w:rPr>
      </w:pPr>
    </w:p>
    <w:p w:rsidR="003D01F5" w:rsidRDefault="000D1D32">
      <w:pPr>
        <w:spacing w:line="276" w:lineRule="auto"/>
        <w:ind w:left="2840" w:hanging="1420"/>
        <w:jc w:val="center"/>
        <w:rPr>
          <w:rFonts w:ascii="Arial" w:eastAsia="Arial" w:hAnsi="Arial" w:cs="Arial"/>
          <w:sz w:val="22"/>
          <w:szCs w:val="22"/>
        </w:rPr>
      </w:pPr>
      <w:r>
        <w:rPr>
          <w:rFonts w:ascii="Arial" w:eastAsia="Arial" w:hAnsi="Arial" w:cs="Arial"/>
          <w:sz w:val="22"/>
          <w:szCs w:val="22"/>
        </w:rPr>
        <w:t xml:space="preserve"> </w:t>
      </w:r>
    </w:p>
    <w:p w:rsidR="003D01F5" w:rsidRDefault="000D1D32">
      <w:pPr>
        <w:spacing w:line="276" w:lineRule="auto"/>
        <w:jc w:val="both"/>
        <w:rPr>
          <w:rFonts w:ascii="Arial" w:eastAsia="Arial" w:hAnsi="Arial" w:cs="Arial"/>
          <w:sz w:val="22"/>
          <w:szCs w:val="22"/>
        </w:rPr>
      </w:pPr>
      <w:r>
        <w:rPr>
          <w:rFonts w:ascii="Arial" w:eastAsia="Arial" w:hAnsi="Arial" w:cs="Arial"/>
          <w:sz w:val="22"/>
          <w:szCs w:val="22"/>
        </w:rPr>
        <w:t xml:space="preserve">Apreciado Doctor </w:t>
      </w:r>
    </w:p>
    <w:p w:rsidR="003D01F5" w:rsidRDefault="003D01F5">
      <w:pPr>
        <w:spacing w:line="276" w:lineRule="auto"/>
        <w:jc w:val="both"/>
        <w:rPr>
          <w:rFonts w:ascii="Arial" w:eastAsia="Arial" w:hAnsi="Arial" w:cs="Arial"/>
          <w:sz w:val="22"/>
          <w:szCs w:val="22"/>
        </w:rPr>
      </w:pPr>
    </w:p>
    <w:p w:rsidR="003D01F5" w:rsidRDefault="000D1D32">
      <w:pPr>
        <w:spacing w:line="276" w:lineRule="auto"/>
        <w:jc w:val="both"/>
        <w:rPr>
          <w:rFonts w:ascii="Arial" w:eastAsia="Arial" w:hAnsi="Arial" w:cs="Arial"/>
          <w:sz w:val="22"/>
          <w:szCs w:val="22"/>
        </w:rPr>
      </w:pPr>
      <w:r>
        <w:rPr>
          <w:rFonts w:ascii="Arial" w:eastAsia="Arial" w:hAnsi="Arial" w:cs="Arial"/>
          <w:sz w:val="22"/>
          <w:szCs w:val="22"/>
        </w:rPr>
        <w:t xml:space="preserve"> </w:t>
      </w:r>
    </w:p>
    <w:p w:rsidR="003D01F5" w:rsidRDefault="000D1D32">
      <w:pPr>
        <w:spacing w:line="276" w:lineRule="auto"/>
        <w:jc w:val="both"/>
        <w:rPr>
          <w:rFonts w:ascii="Arial" w:eastAsia="Arial" w:hAnsi="Arial" w:cs="Arial"/>
          <w:sz w:val="22"/>
          <w:szCs w:val="22"/>
        </w:rPr>
      </w:pPr>
      <w:r>
        <w:rPr>
          <w:rFonts w:ascii="Arial" w:eastAsia="Arial" w:hAnsi="Arial" w:cs="Arial"/>
          <w:sz w:val="22"/>
          <w:szCs w:val="22"/>
        </w:rPr>
        <w:t>Reciba un cordial saludo.</w:t>
      </w:r>
    </w:p>
    <w:p w:rsidR="003D01F5" w:rsidRDefault="003D01F5">
      <w:pPr>
        <w:spacing w:line="276" w:lineRule="auto"/>
        <w:jc w:val="both"/>
        <w:rPr>
          <w:rFonts w:ascii="Arial" w:eastAsia="Arial" w:hAnsi="Arial" w:cs="Arial"/>
          <w:sz w:val="22"/>
          <w:szCs w:val="22"/>
        </w:rPr>
      </w:pPr>
    </w:p>
    <w:p w:rsidR="003D01F5" w:rsidRDefault="000D1D32">
      <w:pPr>
        <w:spacing w:line="276" w:lineRule="auto"/>
        <w:jc w:val="both"/>
        <w:rPr>
          <w:rFonts w:ascii="Arial" w:eastAsia="Arial" w:hAnsi="Arial" w:cs="Arial"/>
          <w:i/>
          <w:sz w:val="22"/>
          <w:szCs w:val="22"/>
        </w:rPr>
      </w:pPr>
      <w:r>
        <w:rPr>
          <w:rFonts w:ascii="Arial" w:eastAsia="Arial" w:hAnsi="Arial" w:cs="Arial"/>
          <w:sz w:val="22"/>
          <w:szCs w:val="22"/>
        </w:rPr>
        <w:t xml:space="preserve">De conformidad con lo señalado en el Artículo 71 del Acuerdo 741 de 2019, de manera atenta, me permito radicar en medio magnético ante su despacho Ponencia </w:t>
      </w:r>
      <w:proofErr w:type="gramStart"/>
      <w:r>
        <w:rPr>
          <w:rFonts w:ascii="Arial" w:eastAsia="Arial" w:hAnsi="Arial" w:cs="Arial"/>
          <w:sz w:val="22"/>
          <w:szCs w:val="22"/>
        </w:rPr>
        <w:t>al  Proyecto</w:t>
      </w:r>
      <w:proofErr w:type="gramEnd"/>
      <w:r>
        <w:rPr>
          <w:rFonts w:ascii="Arial" w:eastAsia="Arial" w:hAnsi="Arial" w:cs="Arial"/>
          <w:sz w:val="22"/>
          <w:szCs w:val="22"/>
        </w:rPr>
        <w:t xml:space="preserve"> de Acuerdo N° 464 de 2025,</w:t>
      </w:r>
      <w:r>
        <w:rPr>
          <w:rFonts w:ascii="Arial" w:eastAsia="Arial" w:hAnsi="Arial" w:cs="Arial"/>
          <w:i/>
          <w:sz w:val="22"/>
          <w:szCs w:val="22"/>
        </w:rPr>
        <w:t>“Por medio del cual se establecen lineamientos para la Prevención del Reclutamiento, Utilización, Usó, Violencia y Explotación Sexual en contra de Niños, Niñas, Adolescentes y Jóvenes (NNAJ) por parte de Grupos Armados Organizados (GAO) y Grupos Delictivos Organizados (GDO) en el Distrito Capital”</w:t>
      </w:r>
    </w:p>
    <w:p w:rsidR="003D01F5" w:rsidRDefault="003D01F5">
      <w:pPr>
        <w:spacing w:line="276" w:lineRule="auto"/>
        <w:jc w:val="both"/>
        <w:rPr>
          <w:rFonts w:ascii="Arial" w:eastAsia="Arial" w:hAnsi="Arial" w:cs="Arial"/>
          <w:sz w:val="22"/>
          <w:szCs w:val="22"/>
        </w:rPr>
      </w:pPr>
    </w:p>
    <w:p w:rsidR="003D01F5" w:rsidRDefault="003D01F5">
      <w:pPr>
        <w:spacing w:line="276" w:lineRule="auto"/>
        <w:jc w:val="both"/>
        <w:rPr>
          <w:rFonts w:ascii="Arial" w:eastAsia="Arial" w:hAnsi="Arial" w:cs="Arial"/>
          <w:sz w:val="22"/>
          <w:szCs w:val="22"/>
        </w:rPr>
      </w:pPr>
    </w:p>
    <w:p w:rsidR="003D01F5" w:rsidRDefault="003D01F5">
      <w:pPr>
        <w:spacing w:line="276" w:lineRule="auto"/>
        <w:jc w:val="both"/>
        <w:rPr>
          <w:rFonts w:ascii="Arial" w:eastAsia="Arial" w:hAnsi="Arial" w:cs="Arial"/>
          <w:sz w:val="22"/>
          <w:szCs w:val="22"/>
        </w:rPr>
      </w:pPr>
    </w:p>
    <w:p w:rsidR="003D01F5" w:rsidRDefault="000D1D32">
      <w:pPr>
        <w:spacing w:line="276" w:lineRule="auto"/>
        <w:jc w:val="both"/>
        <w:rPr>
          <w:rFonts w:ascii="Arial" w:eastAsia="Arial" w:hAnsi="Arial" w:cs="Arial"/>
          <w:sz w:val="22"/>
          <w:szCs w:val="22"/>
        </w:rPr>
      </w:pPr>
      <w:r>
        <w:rPr>
          <w:rFonts w:ascii="Arial" w:eastAsia="Arial" w:hAnsi="Arial" w:cs="Arial"/>
          <w:sz w:val="22"/>
          <w:szCs w:val="22"/>
        </w:rPr>
        <w:t>Cordialmente,</w:t>
      </w:r>
    </w:p>
    <w:p w:rsidR="003D01F5" w:rsidRDefault="003D01F5">
      <w:pPr>
        <w:spacing w:line="276" w:lineRule="auto"/>
        <w:jc w:val="both"/>
        <w:rPr>
          <w:rFonts w:ascii="Arial" w:eastAsia="Arial" w:hAnsi="Arial" w:cs="Arial"/>
          <w:sz w:val="22"/>
          <w:szCs w:val="22"/>
        </w:rPr>
      </w:pPr>
    </w:p>
    <w:p w:rsidR="003D01F5" w:rsidRDefault="003D01F5">
      <w:pPr>
        <w:spacing w:line="276" w:lineRule="auto"/>
        <w:jc w:val="both"/>
        <w:rPr>
          <w:rFonts w:ascii="Arial" w:eastAsia="Arial" w:hAnsi="Arial" w:cs="Arial"/>
          <w:sz w:val="22"/>
          <w:szCs w:val="22"/>
        </w:rPr>
      </w:pPr>
    </w:p>
    <w:p w:rsidR="003D01F5" w:rsidRDefault="003D01F5">
      <w:pPr>
        <w:spacing w:line="276" w:lineRule="auto"/>
        <w:jc w:val="both"/>
        <w:rPr>
          <w:rFonts w:ascii="Arial" w:eastAsia="Arial" w:hAnsi="Arial" w:cs="Arial"/>
          <w:sz w:val="22"/>
          <w:szCs w:val="22"/>
        </w:rPr>
      </w:pPr>
    </w:p>
    <w:p w:rsidR="003D01F5" w:rsidRDefault="003D01F5">
      <w:pPr>
        <w:spacing w:line="276" w:lineRule="auto"/>
        <w:jc w:val="both"/>
        <w:rPr>
          <w:rFonts w:ascii="Arial" w:eastAsia="Arial" w:hAnsi="Arial" w:cs="Arial"/>
          <w:sz w:val="22"/>
          <w:szCs w:val="22"/>
        </w:rPr>
      </w:pPr>
    </w:p>
    <w:p w:rsidR="003D01F5" w:rsidRDefault="003D01F5">
      <w:pPr>
        <w:spacing w:line="276" w:lineRule="auto"/>
        <w:jc w:val="both"/>
        <w:rPr>
          <w:rFonts w:ascii="Arial" w:eastAsia="Arial" w:hAnsi="Arial" w:cs="Arial"/>
          <w:sz w:val="22"/>
          <w:szCs w:val="22"/>
        </w:rPr>
      </w:pPr>
    </w:p>
    <w:p w:rsidR="003D01F5" w:rsidRDefault="003D01F5">
      <w:pPr>
        <w:jc w:val="both"/>
        <w:rPr>
          <w:rFonts w:ascii="Arial" w:eastAsia="Arial" w:hAnsi="Arial" w:cs="Arial"/>
          <w:b/>
          <w:sz w:val="22"/>
          <w:szCs w:val="22"/>
        </w:rPr>
      </w:pPr>
    </w:p>
    <w:p w:rsidR="003D01F5" w:rsidRDefault="000D1D32">
      <w:pPr>
        <w:spacing w:line="276" w:lineRule="auto"/>
        <w:jc w:val="both"/>
        <w:rPr>
          <w:rFonts w:ascii="Arial" w:eastAsia="Arial" w:hAnsi="Arial" w:cs="Arial"/>
          <w:b/>
          <w:sz w:val="22"/>
          <w:szCs w:val="22"/>
        </w:rPr>
      </w:pPr>
      <w:r>
        <w:rPr>
          <w:rFonts w:ascii="Arial" w:eastAsia="Arial" w:hAnsi="Arial" w:cs="Arial"/>
          <w:b/>
          <w:sz w:val="22"/>
          <w:szCs w:val="22"/>
        </w:rPr>
        <w:t xml:space="preserve">RUBÉN DARÍO TORRADO PACHECO  </w:t>
      </w:r>
    </w:p>
    <w:p w:rsidR="003D01F5" w:rsidRDefault="000D1D32">
      <w:pPr>
        <w:spacing w:line="276" w:lineRule="auto"/>
        <w:jc w:val="both"/>
        <w:rPr>
          <w:rFonts w:ascii="Arial" w:eastAsia="Arial" w:hAnsi="Arial" w:cs="Arial"/>
          <w:sz w:val="22"/>
          <w:szCs w:val="22"/>
        </w:rPr>
      </w:pPr>
      <w:r>
        <w:rPr>
          <w:rFonts w:ascii="Arial" w:eastAsia="Arial" w:hAnsi="Arial" w:cs="Arial"/>
          <w:sz w:val="22"/>
          <w:szCs w:val="22"/>
        </w:rPr>
        <w:t xml:space="preserve">Concejal de Bogotá D.C. </w:t>
      </w:r>
    </w:p>
    <w:p w:rsidR="003D01F5" w:rsidRDefault="000D1D32">
      <w:pPr>
        <w:spacing w:line="276" w:lineRule="auto"/>
        <w:jc w:val="both"/>
        <w:rPr>
          <w:rFonts w:ascii="Arial" w:eastAsia="Arial" w:hAnsi="Arial" w:cs="Arial"/>
          <w:sz w:val="22"/>
          <w:szCs w:val="22"/>
        </w:rPr>
      </w:pPr>
      <w:r>
        <w:rPr>
          <w:rFonts w:ascii="Arial" w:eastAsia="Arial" w:hAnsi="Arial" w:cs="Arial"/>
          <w:sz w:val="22"/>
          <w:szCs w:val="22"/>
        </w:rPr>
        <w:t>Partido de la U.</w:t>
      </w:r>
    </w:p>
    <w:p w:rsidR="003D01F5" w:rsidRDefault="000D1D32">
      <w:pPr>
        <w:spacing w:line="276" w:lineRule="auto"/>
        <w:jc w:val="both"/>
        <w:rPr>
          <w:rFonts w:ascii="Arial" w:eastAsia="Arial" w:hAnsi="Arial" w:cs="Arial"/>
          <w:sz w:val="22"/>
          <w:szCs w:val="22"/>
        </w:rPr>
      </w:pPr>
      <w:r>
        <w:rPr>
          <w:rFonts w:ascii="Arial" w:eastAsia="Arial" w:hAnsi="Arial" w:cs="Arial"/>
          <w:sz w:val="22"/>
          <w:szCs w:val="22"/>
        </w:rPr>
        <w:t>Ponente.</w:t>
      </w:r>
    </w:p>
    <w:p w:rsidR="003D01F5" w:rsidRDefault="003D01F5">
      <w:pPr>
        <w:spacing w:line="276" w:lineRule="auto"/>
        <w:jc w:val="both"/>
        <w:rPr>
          <w:rFonts w:ascii="Arial" w:eastAsia="Arial" w:hAnsi="Arial" w:cs="Arial"/>
          <w:sz w:val="22"/>
          <w:szCs w:val="22"/>
        </w:rPr>
      </w:pPr>
    </w:p>
    <w:p w:rsidR="003D01F5" w:rsidRDefault="003D01F5">
      <w:pPr>
        <w:jc w:val="center"/>
        <w:rPr>
          <w:rFonts w:ascii="Arial" w:eastAsia="Arial" w:hAnsi="Arial" w:cs="Arial"/>
          <w:b/>
          <w:sz w:val="22"/>
          <w:szCs w:val="22"/>
        </w:rPr>
      </w:pPr>
    </w:p>
    <w:p w:rsidR="003D01F5" w:rsidRDefault="003D01F5">
      <w:pPr>
        <w:jc w:val="center"/>
        <w:rPr>
          <w:rFonts w:ascii="Arial" w:eastAsia="Arial" w:hAnsi="Arial" w:cs="Arial"/>
          <w:b/>
          <w:sz w:val="22"/>
          <w:szCs w:val="22"/>
        </w:rPr>
      </w:pPr>
    </w:p>
    <w:p w:rsidR="003D01F5" w:rsidRDefault="003D01F5">
      <w:pPr>
        <w:jc w:val="center"/>
        <w:rPr>
          <w:rFonts w:ascii="Arial" w:eastAsia="Arial" w:hAnsi="Arial" w:cs="Arial"/>
          <w:b/>
          <w:sz w:val="22"/>
          <w:szCs w:val="22"/>
        </w:rPr>
      </w:pPr>
    </w:p>
    <w:p w:rsidR="003D01F5" w:rsidRDefault="003D01F5">
      <w:pPr>
        <w:jc w:val="center"/>
        <w:rPr>
          <w:rFonts w:ascii="Arial" w:eastAsia="Arial" w:hAnsi="Arial" w:cs="Arial"/>
          <w:b/>
          <w:sz w:val="22"/>
          <w:szCs w:val="22"/>
        </w:rPr>
      </w:pPr>
    </w:p>
    <w:p w:rsidR="003D01F5" w:rsidRDefault="000D1D32">
      <w:pPr>
        <w:jc w:val="both"/>
        <w:rPr>
          <w:rFonts w:ascii="Arial" w:eastAsia="Arial" w:hAnsi="Arial" w:cs="Arial"/>
          <w:b/>
          <w:i/>
          <w:sz w:val="22"/>
          <w:szCs w:val="22"/>
        </w:rPr>
      </w:pPr>
      <w:bookmarkStart w:id="1" w:name="_heading=h.30j0zll" w:colFirst="0" w:colLast="0"/>
      <w:bookmarkEnd w:id="1"/>
      <w:r>
        <w:rPr>
          <w:rFonts w:ascii="Arial" w:eastAsia="Arial" w:hAnsi="Arial" w:cs="Arial"/>
          <w:b/>
          <w:sz w:val="22"/>
          <w:szCs w:val="22"/>
        </w:rPr>
        <w:lastRenderedPageBreak/>
        <w:t>PONENCIA PARA PRIMER DEBATE AL PROYECTO DE ACUERDO No. 464 DE 2025</w:t>
      </w:r>
      <w:r>
        <w:rPr>
          <w:rFonts w:ascii="Arial" w:eastAsia="Arial" w:hAnsi="Arial" w:cs="Arial"/>
          <w:b/>
          <w:i/>
          <w:sz w:val="22"/>
          <w:szCs w:val="22"/>
        </w:rPr>
        <w:t xml:space="preserve"> “Por medio del cual se establecen lineamientos para la Prevención del Reclutamiento, Utilización, Usó, Violencia y Explotación Sexual en contra de Niños, Niñas, Adolescentes y Jóvenes (NNAJ) por parte de Grupos Armados Organizados (GAO) y Grupos Delictivos Organizados (GDO) en el Distrito Capital"</w:t>
      </w:r>
    </w:p>
    <w:p w:rsidR="003D01F5" w:rsidRDefault="003D01F5">
      <w:pPr>
        <w:jc w:val="center"/>
        <w:rPr>
          <w:rFonts w:ascii="Arial" w:eastAsia="Arial" w:hAnsi="Arial" w:cs="Arial"/>
          <w:b/>
          <w:i/>
          <w:sz w:val="22"/>
          <w:szCs w:val="22"/>
        </w:rPr>
      </w:pPr>
    </w:p>
    <w:p w:rsidR="003D01F5" w:rsidRDefault="000D1D32">
      <w:pPr>
        <w:jc w:val="both"/>
        <w:rPr>
          <w:rFonts w:ascii="Arial" w:eastAsia="Arial" w:hAnsi="Arial" w:cs="Arial"/>
          <w:sz w:val="22"/>
          <w:szCs w:val="22"/>
        </w:rPr>
      </w:pPr>
      <w:r>
        <w:rPr>
          <w:rFonts w:ascii="Arial" w:eastAsia="Arial" w:hAnsi="Arial" w:cs="Arial"/>
          <w:sz w:val="22"/>
          <w:szCs w:val="22"/>
        </w:rPr>
        <w:t>De conformidad con la asignación realizada por la Presidencia del Concejo de Bogotá D.C. y con fundamento en el artículo 71 del Acuerdo 741 de 2019, nos permitimos presentar ponencia para primer debate al Proyecto de Acuerdo No. 464 de 2025 “Por medio del cual se establecen lineamientos para la Prevención del Reclutamiento, Utilización, Usó, Violencia y Explotación Sexual en contra de Niños, Niñas, Adolescentes y Jóvenes (NNAJ) por parte de Grupos Armados Organizados (GAO) y Grupos Delictivos Organizados (GDO) en el Distrito Capital" , en los siguientes términos:</w:t>
      </w:r>
    </w:p>
    <w:p w:rsidR="003D01F5" w:rsidRDefault="003D01F5">
      <w:pPr>
        <w:jc w:val="both"/>
        <w:rPr>
          <w:rFonts w:ascii="Arial" w:eastAsia="Arial" w:hAnsi="Arial" w:cs="Arial"/>
          <w:sz w:val="22"/>
          <w:szCs w:val="22"/>
        </w:rPr>
      </w:pPr>
    </w:p>
    <w:p w:rsidR="003D01F5" w:rsidRDefault="000D1D32">
      <w:pPr>
        <w:numPr>
          <w:ilvl w:val="0"/>
          <w:numId w:val="4"/>
        </w:numPr>
        <w:pBdr>
          <w:top w:val="nil"/>
          <w:left w:val="nil"/>
          <w:bottom w:val="nil"/>
          <w:right w:val="nil"/>
          <w:between w:val="nil"/>
        </w:pBdr>
        <w:spacing w:after="160" w:line="259" w:lineRule="auto"/>
        <w:jc w:val="both"/>
        <w:rPr>
          <w:rFonts w:ascii="Arial" w:eastAsia="Arial" w:hAnsi="Arial" w:cs="Arial"/>
          <w:b/>
          <w:color w:val="000000"/>
          <w:sz w:val="22"/>
          <w:szCs w:val="22"/>
        </w:rPr>
      </w:pPr>
      <w:r>
        <w:rPr>
          <w:rFonts w:ascii="Arial" w:eastAsia="Arial" w:hAnsi="Arial" w:cs="Arial"/>
          <w:b/>
          <w:color w:val="000000"/>
          <w:sz w:val="22"/>
          <w:szCs w:val="22"/>
        </w:rPr>
        <w:t>RESUMEN DE LA INICIATIVA</w:t>
      </w:r>
    </w:p>
    <w:p w:rsidR="003D01F5" w:rsidRDefault="000D1D32">
      <w:pPr>
        <w:jc w:val="both"/>
        <w:rPr>
          <w:rFonts w:ascii="Arial" w:eastAsia="Arial" w:hAnsi="Arial" w:cs="Arial"/>
          <w:sz w:val="22"/>
          <w:szCs w:val="22"/>
        </w:rPr>
      </w:pPr>
      <w:r>
        <w:rPr>
          <w:rFonts w:ascii="Arial" w:eastAsia="Arial" w:hAnsi="Arial" w:cs="Arial"/>
          <w:sz w:val="22"/>
          <w:szCs w:val="22"/>
        </w:rPr>
        <w:t xml:space="preserve">El Proyecto de Acuerdo presentado ante el Concejo de Bogotá busca establecer un marco normativo integral y articulado para la prevención del reclutamiento, </w:t>
      </w:r>
      <w:proofErr w:type="spellStart"/>
      <w:r>
        <w:rPr>
          <w:rFonts w:ascii="Arial" w:eastAsia="Arial" w:hAnsi="Arial" w:cs="Arial"/>
          <w:sz w:val="22"/>
          <w:szCs w:val="22"/>
        </w:rPr>
        <w:t>utilización,usó</w:t>
      </w:r>
      <w:proofErr w:type="spellEnd"/>
      <w:r>
        <w:rPr>
          <w:rFonts w:ascii="Arial" w:eastAsia="Arial" w:hAnsi="Arial" w:cs="Arial"/>
          <w:sz w:val="22"/>
          <w:szCs w:val="22"/>
        </w:rPr>
        <w:t xml:space="preserve">, violencia y explotación sexual contra niños, niñas, adolescentes y jóvenes por parte de grupos armados organizados y estructuras delincuenciales en el Distrito Capital, con el propósito de garantizar su protección integral, el restablecimiento de derechos vulnerados y la promoción de entornos seguros que favorezcan su desarrollo humano y social. </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sz w:val="22"/>
          <w:szCs w:val="22"/>
        </w:rPr>
        <w:t xml:space="preserve">La justificación del proyecto de acuerdo se fundamenta en la vinculación de menores a ilegales y bandas criminales es resultado de condiciones estructurales de vulnerabilidad, agravadas por el abandono estatal, la pobreza, el desplazamiento forzado, el acceso limitado a servicios sociales y la manipulación por parte de redes delictivas que operan en entornos marginales. La Defensoría del Pueblo, a través de diversas Alertas Tempranas (010 de 2021, 046 de 2019, 022 de 2020 y 004 de 2024), advierte sobre el grave riesgo que enfrentan los NNAJ en localidades como Santa Fe, Los Mártires, Puente Aranda, Usaquén, Ciudad Bolívar, Bosa y Kennedy, donde operan bandas locales y grupos armados como el ELN, disidencias de las FARC-EP y sucesores del </w:t>
      </w:r>
      <w:proofErr w:type="spellStart"/>
      <w:r>
        <w:rPr>
          <w:rFonts w:ascii="Arial" w:eastAsia="Arial" w:hAnsi="Arial" w:cs="Arial"/>
          <w:sz w:val="22"/>
          <w:szCs w:val="22"/>
        </w:rPr>
        <w:t>paramilitarismo.Estas</w:t>
      </w:r>
      <w:proofErr w:type="spellEnd"/>
      <w:r>
        <w:rPr>
          <w:rFonts w:ascii="Arial" w:eastAsia="Arial" w:hAnsi="Arial" w:cs="Arial"/>
          <w:sz w:val="22"/>
          <w:szCs w:val="22"/>
        </w:rPr>
        <w:t xml:space="preserve"> estructuras criminales recurren al reclutamiento forzado y la cooptación de menores, quienes son instrumentalizados para actividades como el tráfico de estupefacientes, el campaneo, el </w:t>
      </w:r>
      <w:proofErr w:type="spellStart"/>
      <w:r>
        <w:rPr>
          <w:rFonts w:ascii="Arial" w:eastAsia="Arial" w:hAnsi="Arial" w:cs="Arial"/>
          <w:sz w:val="22"/>
          <w:szCs w:val="22"/>
        </w:rPr>
        <w:t>sicariato</w:t>
      </w:r>
      <w:proofErr w:type="spellEnd"/>
      <w:r>
        <w:rPr>
          <w:rFonts w:ascii="Arial" w:eastAsia="Arial" w:hAnsi="Arial" w:cs="Arial"/>
          <w:sz w:val="22"/>
          <w:szCs w:val="22"/>
        </w:rPr>
        <w:t xml:space="preserve">, y otras formas de violencia urbana. Esta dinámica es parte de un modelo de "gobernanza criminal" que reemplaza funciones del Estado, ejerciendo control social mediante coerción, beneficios materiales y sobornos a funcionarios públicos. </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sz w:val="22"/>
          <w:szCs w:val="22"/>
        </w:rPr>
        <w:t>El fenómeno del reclutamiento ha crecido de forma alarmante. Entre enero y junio de 2021 se registraron 190 casos de reclutamiento de NNAJ, frente a 38 casos en el mismo periodo de 2019, según datos de COALICO. La participación de menores en estructuras ilegales se ha facilitado por la percepción de menor riesgo judicial para esta población y por su capacidad de moverse con mayor facilidad frente a las autoridades. Además, se identifican nuevas formas de instrumentalización como la tercerización de actividades delictivas a través de bandas locales, muchas veces integradas por adolescentes.</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sz w:val="22"/>
          <w:szCs w:val="22"/>
        </w:rPr>
        <w:lastRenderedPageBreak/>
        <w:t>A pesar de la existencia de programas como "Entornos Protectores", "Parques Seguros", "Abre tus Ojos" o la Mesa Técnica de Prevención del Reclutamiento, las acciones del Estado se han centrado en la atención reactiva más que en la prevención estructural. La Defensoría critica la desarticulación institucional, la falta de estrategias focalizadas en barrios periféricos y la subestimación de las alertas por parte de las fuerzas de seguridad. Asimismo, se evidencia una ausencia de datos detallados que permitan hacer seguimiento a las acciones implementadas por entidades como la Fiscalía, el Alto Comisionado para la Paz, la Unidad de Víctimas y otras organizaciones humanitarias.</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sz w:val="22"/>
          <w:szCs w:val="22"/>
        </w:rPr>
        <w:t xml:space="preserve">Por esto, el proyecto de acuerdo destaca la necesidad urgente de garantizar un enfoque integral que combine acciones de prevención, protección y restitución de derechos. Esto implica mejorar el acceso a educación, cultura y recreación; fortalecer las políticas sociales para familias en situación de riesgo; ampliar la oferta institucional en territorios marginados y establecer sistemas efectivos de coordinación interinstitucional. Se plantea que el reclutamiento debe entenderse no sólo como un delito individual, sino como una manifestación de poderes ilegales que suplantan al Estado en territorios caracterizados por el abandono y la exclusión. </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sz w:val="22"/>
          <w:szCs w:val="22"/>
        </w:rPr>
        <w:t>En ese sentido, el proyecto de acuerdo propuesto busca materializar el principio de protección integral de los derechos de la niñez, consagrado en la Ley 1098 de 2006, mediante políticas públicas que reconozcan a los NNAJ como sujetos de derechos y promuevan la corresponsabilidad del Estado, la sociedad y la familia. También se hace un llamado a que la Administración Distrital fortalezca su presencia en los territorios, recupere la confianza de la ciudadanía y promueva la participación activa de las comunidades como estrategia para debilitar las dinámicas de poder ilegítimo impuestas por las bandas criminales.</w:t>
      </w:r>
    </w:p>
    <w:p w:rsidR="003D01F5" w:rsidRDefault="003D01F5">
      <w:pPr>
        <w:jc w:val="both"/>
        <w:rPr>
          <w:rFonts w:ascii="Arial" w:eastAsia="Arial" w:hAnsi="Arial" w:cs="Arial"/>
          <w:sz w:val="22"/>
          <w:szCs w:val="22"/>
        </w:rPr>
      </w:pPr>
    </w:p>
    <w:p w:rsidR="003D01F5" w:rsidRDefault="003D01F5">
      <w:pPr>
        <w:jc w:val="both"/>
        <w:rPr>
          <w:rFonts w:ascii="Arial" w:eastAsia="Arial" w:hAnsi="Arial" w:cs="Arial"/>
          <w:sz w:val="22"/>
          <w:szCs w:val="22"/>
        </w:rPr>
      </w:pPr>
    </w:p>
    <w:p w:rsidR="003D01F5" w:rsidRDefault="000D1D32">
      <w:pPr>
        <w:numPr>
          <w:ilvl w:val="0"/>
          <w:numId w:val="4"/>
        </w:numPr>
        <w:pBdr>
          <w:top w:val="nil"/>
          <w:left w:val="nil"/>
          <w:bottom w:val="nil"/>
          <w:right w:val="nil"/>
          <w:between w:val="nil"/>
        </w:pBdr>
        <w:spacing w:after="160" w:line="259" w:lineRule="auto"/>
        <w:jc w:val="both"/>
        <w:rPr>
          <w:rFonts w:ascii="Arial" w:eastAsia="Arial" w:hAnsi="Arial" w:cs="Arial"/>
          <w:b/>
          <w:color w:val="000000"/>
          <w:sz w:val="22"/>
          <w:szCs w:val="22"/>
        </w:rPr>
      </w:pPr>
      <w:r>
        <w:rPr>
          <w:rFonts w:ascii="Arial" w:eastAsia="Arial" w:hAnsi="Arial" w:cs="Arial"/>
          <w:b/>
          <w:color w:val="000000"/>
          <w:sz w:val="22"/>
          <w:szCs w:val="22"/>
        </w:rPr>
        <w:t>ANTECEDENTES</w:t>
      </w:r>
    </w:p>
    <w:p w:rsidR="003D01F5" w:rsidRDefault="000D1D32">
      <w:pPr>
        <w:jc w:val="both"/>
        <w:rPr>
          <w:rFonts w:ascii="Arial" w:eastAsia="Arial" w:hAnsi="Arial" w:cs="Arial"/>
          <w:sz w:val="22"/>
          <w:szCs w:val="22"/>
        </w:rPr>
      </w:pPr>
      <w:r>
        <w:rPr>
          <w:rFonts w:ascii="Arial" w:eastAsia="Arial" w:hAnsi="Arial" w:cs="Arial"/>
          <w:sz w:val="22"/>
          <w:szCs w:val="22"/>
        </w:rPr>
        <w:t>El Proyecto de Acuerdo 464 de 2025 cuenta con un antecedente de un proyecto de acuerdo Distrital. Acuerdo 927 de 2024 “Por medio del cual se adopta el plan de desarrollo económico, social, ambiental y de obras públicas del distrito capital 2024-2027 “Bogotá Camina Segura”, el cual dispone: 12.2. Programa 17. Formación para el trabajo y acceso a oportunidades educativas. (...) Una acción complementaria se centra en atención a jóvenes con oportunidades de inclusión social y productiva brindando espacios para desarrollar su potencial; en especial procesos paralelos de orientación psicosociales e inteligencia emocional para la prevención de la deserción educativa y el desempleo, además de acciones para protegerlos de todos los riesgos a los que están expuestos como la violencia, el reclutamiento, la vinculación a bandas delictivas y los riesgos de salud física y mental, el consumo problemático de drogas, y la maternidad y paternidad tempranas, entre otros.</w:t>
      </w:r>
    </w:p>
    <w:p w:rsidR="003D01F5" w:rsidRDefault="003D01F5">
      <w:pPr>
        <w:jc w:val="both"/>
        <w:rPr>
          <w:rFonts w:ascii="Arial" w:eastAsia="Arial" w:hAnsi="Arial" w:cs="Arial"/>
          <w:b/>
          <w:sz w:val="22"/>
          <w:szCs w:val="22"/>
        </w:rPr>
      </w:pPr>
    </w:p>
    <w:p w:rsidR="003D01F5" w:rsidRDefault="000D1D32">
      <w:pPr>
        <w:numPr>
          <w:ilvl w:val="0"/>
          <w:numId w:val="4"/>
        </w:numPr>
        <w:pBdr>
          <w:top w:val="nil"/>
          <w:left w:val="nil"/>
          <w:bottom w:val="nil"/>
          <w:right w:val="nil"/>
          <w:between w:val="nil"/>
        </w:pBdr>
        <w:spacing w:after="160" w:line="259" w:lineRule="auto"/>
        <w:jc w:val="both"/>
        <w:rPr>
          <w:rFonts w:ascii="Arial" w:eastAsia="Arial" w:hAnsi="Arial" w:cs="Arial"/>
          <w:b/>
          <w:color w:val="000000"/>
          <w:sz w:val="22"/>
          <w:szCs w:val="22"/>
        </w:rPr>
      </w:pPr>
      <w:r>
        <w:rPr>
          <w:rFonts w:ascii="Arial" w:eastAsia="Arial" w:hAnsi="Arial" w:cs="Arial"/>
          <w:b/>
          <w:color w:val="000000"/>
          <w:sz w:val="22"/>
          <w:szCs w:val="22"/>
        </w:rPr>
        <w:t>OBJETO DEL PROYECTO DE ACUERDO</w:t>
      </w:r>
    </w:p>
    <w:p w:rsidR="003D01F5" w:rsidRDefault="000D1D32">
      <w:pPr>
        <w:jc w:val="both"/>
        <w:rPr>
          <w:rFonts w:ascii="Arial" w:eastAsia="Arial" w:hAnsi="Arial" w:cs="Arial"/>
          <w:sz w:val="22"/>
          <w:szCs w:val="22"/>
          <w:highlight w:val="white"/>
        </w:rPr>
      </w:pPr>
      <w:r>
        <w:rPr>
          <w:rFonts w:ascii="Arial" w:eastAsia="Arial" w:hAnsi="Arial" w:cs="Arial"/>
          <w:sz w:val="22"/>
          <w:szCs w:val="22"/>
        </w:rPr>
        <w:t xml:space="preserve">El proyecto de acuerdo tiene como objeto establecer lineamientos para prevenir </w:t>
      </w:r>
      <w:r>
        <w:rPr>
          <w:rFonts w:ascii="Arial" w:eastAsia="Arial" w:hAnsi="Arial" w:cs="Arial"/>
          <w:sz w:val="22"/>
          <w:szCs w:val="22"/>
          <w:highlight w:val="white"/>
        </w:rPr>
        <w:t xml:space="preserve">el reclutamiento, utilización, usó, violencia y explotación sexual en contra de niños, niñas, </w:t>
      </w:r>
      <w:r>
        <w:rPr>
          <w:rFonts w:ascii="Arial" w:eastAsia="Arial" w:hAnsi="Arial" w:cs="Arial"/>
          <w:sz w:val="22"/>
          <w:szCs w:val="22"/>
          <w:highlight w:val="white"/>
        </w:rPr>
        <w:lastRenderedPageBreak/>
        <w:t>adolescentes y jóvenes (NNAJ) por parte de grupos armados organizados (GAO) y grupos delictivos organizados (GDO) en Bogotá D.C., a través de la identificación temprana de riesgos, la promoción de entornos protectores, la articulación interinstitucional y estrategias de monitoreo y evaluación.</w:t>
      </w:r>
    </w:p>
    <w:p w:rsidR="003D01F5" w:rsidRDefault="003D01F5">
      <w:pPr>
        <w:jc w:val="both"/>
        <w:rPr>
          <w:rFonts w:ascii="Arial" w:eastAsia="Arial" w:hAnsi="Arial" w:cs="Arial"/>
          <w:sz w:val="22"/>
          <w:szCs w:val="22"/>
        </w:rPr>
      </w:pPr>
    </w:p>
    <w:p w:rsidR="003D01F5" w:rsidRDefault="000D1D32">
      <w:pPr>
        <w:numPr>
          <w:ilvl w:val="0"/>
          <w:numId w:val="4"/>
        </w:numPr>
        <w:pBdr>
          <w:top w:val="nil"/>
          <w:left w:val="nil"/>
          <w:bottom w:val="nil"/>
          <w:right w:val="nil"/>
          <w:between w:val="nil"/>
        </w:pBdr>
        <w:spacing w:after="160" w:line="259" w:lineRule="auto"/>
        <w:jc w:val="both"/>
        <w:rPr>
          <w:rFonts w:ascii="Arial" w:eastAsia="Arial" w:hAnsi="Arial" w:cs="Arial"/>
          <w:b/>
          <w:color w:val="000000"/>
          <w:sz w:val="22"/>
          <w:szCs w:val="22"/>
        </w:rPr>
      </w:pPr>
      <w:r>
        <w:rPr>
          <w:rFonts w:ascii="Arial" w:eastAsia="Arial" w:hAnsi="Arial" w:cs="Arial"/>
          <w:b/>
          <w:color w:val="000000"/>
          <w:sz w:val="22"/>
          <w:szCs w:val="22"/>
        </w:rPr>
        <w:t>MARCO NORMATIVO</w:t>
      </w:r>
    </w:p>
    <w:p w:rsidR="003D01F5" w:rsidRDefault="000D1D32">
      <w:pPr>
        <w:jc w:val="both"/>
        <w:rPr>
          <w:rFonts w:ascii="Arial" w:eastAsia="Arial" w:hAnsi="Arial" w:cs="Arial"/>
          <w:sz w:val="22"/>
          <w:szCs w:val="22"/>
        </w:rPr>
      </w:pPr>
      <w:r>
        <w:rPr>
          <w:rFonts w:ascii="Arial" w:eastAsia="Arial" w:hAnsi="Arial" w:cs="Arial"/>
          <w:sz w:val="22"/>
          <w:szCs w:val="22"/>
        </w:rPr>
        <w:t xml:space="preserve">El marco normativo del presente proyecto de acuerdo se fundamenta en normas de derecho internacional, disposiciones constitucionales, leyes nacionales y normas distritales, todas orientadas a la protección integral de los niños, niñas, adolescentes y jóvenes (NNAJ) frente a fenómenos como el reclutamiento, instrumentalización, uso, violencia y explotación </w:t>
      </w:r>
      <w:proofErr w:type="spellStart"/>
      <w:r>
        <w:rPr>
          <w:rFonts w:ascii="Arial" w:eastAsia="Arial" w:hAnsi="Arial" w:cs="Arial"/>
          <w:sz w:val="22"/>
          <w:szCs w:val="22"/>
        </w:rPr>
        <w:t>secual</w:t>
      </w:r>
      <w:proofErr w:type="spellEnd"/>
      <w:r>
        <w:rPr>
          <w:rFonts w:ascii="Arial" w:eastAsia="Arial" w:hAnsi="Arial" w:cs="Arial"/>
          <w:sz w:val="22"/>
          <w:szCs w:val="22"/>
        </w:rPr>
        <w:t xml:space="preserve"> por parte de grupos armados organizados y estructuras delincuenciales en Bogotá. </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sz w:val="22"/>
          <w:szCs w:val="22"/>
        </w:rPr>
        <w:t xml:space="preserve">En el plano internacional, se incorporan como parte del bloque de constitucionalidad los instrumentos del derecho internacional humanitario y de derechos humanos ratificados por Colombia. Entre estos, se destaca el Convenio de Ginebra de 1949 y sus protocolos adicionales I y II, así como la Convención sobre los Derechos del Niño de 1989 junto con su protocolo facultativo relativo a la participación de niños en conflictos armados. También se hace referencia al Estatuto de Roma de la Corte Penal Internacional, que tipifica como crimen de guerra el reclutamiento forzado de menores. Adicionalmente, se consideran lineamientos de organismos multilaterales como la Organización Internacional para las Migraciones (OIM), y los Objetivos de Desarrollo Sostenible (ODS), particularmente el ODS 16, enfocado en promover sociedades pacíficas e inclusivas y eliminar toda forma de violencia y explotación contra la niñez. </w:t>
      </w:r>
    </w:p>
    <w:p w:rsidR="003D01F5" w:rsidRDefault="000D1D32">
      <w:pPr>
        <w:spacing w:before="240" w:after="240"/>
        <w:jc w:val="both"/>
        <w:rPr>
          <w:rFonts w:ascii="Arial" w:eastAsia="Arial" w:hAnsi="Arial" w:cs="Arial"/>
          <w:sz w:val="22"/>
          <w:szCs w:val="22"/>
        </w:rPr>
      </w:pPr>
      <w:r>
        <w:rPr>
          <w:rFonts w:ascii="Arial" w:eastAsia="Arial" w:hAnsi="Arial" w:cs="Arial"/>
          <w:sz w:val="22"/>
          <w:szCs w:val="22"/>
        </w:rPr>
        <w:t xml:space="preserve">Desde la Constitución Política de Colombia, el proyecto encuentra sustento en principios fundamentales como el derecho a la paz (art. 22), el principio de protección integral de los niños (art. 44) y la participación y protección de los adolescentes (art. 45). Así mismo, se invoca la competencia de los concejos municipales y distritales para reglamentar funciones relacionadas con la prestación de servicios locales (art. 313, </w:t>
      </w:r>
      <w:proofErr w:type="spellStart"/>
      <w:r>
        <w:rPr>
          <w:rFonts w:ascii="Arial" w:eastAsia="Arial" w:hAnsi="Arial" w:cs="Arial"/>
          <w:sz w:val="22"/>
          <w:szCs w:val="22"/>
        </w:rPr>
        <w:t>num</w:t>
      </w:r>
      <w:proofErr w:type="spellEnd"/>
      <w:r>
        <w:rPr>
          <w:rFonts w:ascii="Arial" w:eastAsia="Arial" w:hAnsi="Arial" w:cs="Arial"/>
          <w:sz w:val="22"/>
          <w:szCs w:val="22"/>
        </w:rPr>
        <w:t>. 1).</w:t>
      </w:r>
    </w:p>
    <w:p w:rsidR="003D01F5" w:rsidRDefault="000D1D32">
      <w:pPr>
        <w:spacing w:before="240" w:after="240"/>
        <w:jc w:val="both"/>
        <w:rPr>
          <w:rFonts w:ascii="Arial" w:eastAsia="Arial" w:hAnsi="Arial" w:cs="Arial"/>
          <w:sz w:val="22"/>
          <w:szCs w:val="22"/>
        </w:rPr>
      </w:pPr>
      <w:r>
        <w:rPr>
          <w:rFonts w:ascii="Arial" w:eastAsia="Arial" w:hAnsi="Arial" w:cs="Arial"/>
          <w:sz w:val="22"/>
          <w:szCs w:val="22"/>
        </w:rPr>
        <w:t>A nivel de legislación ordinaria, el proyecto se soporta en normas como la Ley 12 de 1991 (que incorpora la Convención sobre los Derechos del Niño al ordenamiento interno), la Ley 1098 de 2006 (Código de Infancia y Adolescencia), la Ley 833 de 2003 (Protocolo facultativo de participación en conflictos armados), la Ley 1719 de 2014 (acceso a la justicia para víctimas de violencia sexual), el Código Penal colombiano, que tipifica el reclutamiento ilícito (art. 162) y el uso de menores en delitos (art. 188D), entre otras disposiciones complementarias como la Ley 2294 de 2023 (Plan Nacional de Desarrollo 2022–2026) que crea el programa “Jóvenes en Paz”.</w:t>
      </w:r>
    </w:p>
    <w:p w:rsidR="003D01F5" w:rsidRDefault="000D1D32">
      <w:pPr>
        <w:spacing w:before="240" w:after="240"/>
        <w:jc w:val="both"/>
        <w:rPr>
          <w:rFonts w:ascii="Arial" w:eastAsia="Arial" w:hAnsi="Arial" w:cs="Arial"/>
          <w:sz w:val="22"/>
          <w:szCs w:val="22"/>
        </w:rPr>
      </w:pPr>
      <w:r>
        <w:rPr>
          <w:rFonts w:ascii="Arial" w:eastAsia="Arial" w:hAnsi="Arial" w:cs="Arial"/>
          <w:sz w:val="22"/>
          <w:szCs w:val="22"/>
        </w:rPr>
        <w:t>En cuanto a la normativa distrital, el Acuerdo 927 de 2024 (Plan de Desarrollo “Bogotá Camina Segura”) establece acciones específicas de prevención para los jóvenes en riesgo, incluyendo estrategias de inclusión social, orientación psicosocial y protección frente a riesgos como el reclutamiento y la violencia.</w:t>
      </w:r>
    </w:p>
    <w:p w:rsidR="003D01F5" w:rsidRDefault="000D1D32">
      <w:pPr>
        <w:spacing w:before="240" w:after="240"/>
        <w:jc w:val="both"/>
        <w:rPr>
          <w:rFonts w:ascii="Arial" w:eastAsia="Arial" w:hAnsi="Arial" w:cs="Arial"/>
          <w:sz w:val="22"/>
          <w:szCs w:val="22"/>
        </w:rPr>
      </w:pPr>
      <w:r>
        <w:rPr>
          <w:rFonts w:ascii="Arial" w:eastAsia="Arial" w:hAnsi="Arial" w:cs="Arial"/>
          <w:sz w:val="22"/>
          <w:szCs w:val="22"/>
        </w:rPr>
        <w:lastRenderedPageBreak/>
        <w:t>Este marco normativo ya existente demuestra un esfuerzo articulado por integrar diferentes niveles normativos que reconozcan la gravedad del fenómeno y la necesidad de una respuesta estructural e intersectorial.</w:t>
      </w:r>
    </w:p>
    <w:p w:rsidR="003D01F5" w:rsidRDefault="000D1D32">
      <w:pPr>
        <w:spacing w:before="240" w:after="240"/>
        <w:jc w:val="both"/>
        <w:rPr>
          <w:rFonts w:ascii="Arial" w:eastAsia="Arial" w:hAnsi="Arial" w:cs="Arial"/>
          <w:sz w:val="22"/>
          <w:szCs w:val="22"/>
        </w:rPr>
      </w:pPr>
      <w:r>
        <w:rPr>
          <w:rFonts w:ascii="Arial" w:eastAsia="Arial" w:hAnsi="Arial" w:cs="Arial"/>
          <w:sz w:val="22"/>
          <w:szCs w:val="22"/>
        </w:rPr>
        <w:t xml:space="preserve">Ahora bien, en mi calidad de ponente consideró que el marco normativo del presente proyecto de acuerdo puede ser complementado con las siguientes normas con el fin de darle un piso jurídico más amplio: </w:t>
      </w:r>
    </w:p>
    <w:p w:rsidR="003D01F5" w:rsidRDefault="000D1D32">
      <w:pPr>
        <w:numPr>
          <w:ilvl w:val="0"/>
          <w:numId w:val="7"/>
        </w:numPr>
        <w:spacing w:before="240" w:after="240"/>
        <w:jc w:val="both"/>
        <w:rPr>
          <w:rFonts w:ascii="Arial" w:eastAsia="Arial" w:hAnsi="Arial" w:cs="Arial"/>
          <w:b/>
          <w:sz w:val="22"/>
          <w:szCs w:val="22"/>
        </w:rPr>
      </w:pPr>
      <w:r>
        <w:rPr>
          <w:rFonts w:ascii="Arial" w:eastAsia="Arial" w:hAnsi="Arial" w:cs="Arial"/>
          <w:b/>
          <w:sz w:val="22"/>
          <w:szCs w:val="22"/>
          <w:u w:val="single"/>
        </w:rPr>
        <w:t>Bloque de Constitucionalidad</w:t>
      </w:r>
    </w:p>
    <w:p w:rsidR="003D01F5" w:rsidRDefault="000D1D32">
      <w:pPr>
        <w:spacing w:before="240" w:after="240"/>
        <w:jc w:val="both"/>
        <w:rPr>
          <w:rFonts w:ascii="Arial" w:eastAsia="Arial" w:hAnsi="Arial" w:cs="Arial"/>
          <w:sz w:val="22"/>
          <w:szCs w:val="22"/>
        </w:rPr>
      </w:pPr>
      <w:r>
        <w:rPr>
          <w:rFonts w:ascii="Arial" w:eastAsia="Arial" w:hAnsi="Arial" w:cs="Arial"/>
          <w:sz w:val="22"/>
          <w:szCs w:val="22"/>
        </w:rPr>
        <w:t>Además de los tratados internacionales ya incluidos en el proyecto, el bloque de constitucionalidad colombiano se fortalece con otros instrumentos internacionales de derechos humanos que han sido ratificados por Colombia y, conforme al artículo 93 de la Constitución, prevalecen en el orden interno cuando reconocen derechos más favorables.</w:t>
      </w:r>
    </w:p>
    <w:p w:rsidR="003D01F5" w:rsidRDefault="000D1D32">
      <w:pPr>
        <w:spacing w:before="240" w:after="240"/>
        <w:jc w:val="both"/>
        <w:rPr>
          <w:rFonts w:ascii="Arial" w:eastAsia="Arial" w:hAnsi="Arial" w:cs="Arial"/>
          <w:sz w:val="22"/>
          <w:szCs w:val="22"/>
        </w:rPr>
      </w:pPr>
      <w:r>
        <w:rPr>
          <w:rFonts w:ascii="Arial" w:eastAsia="Arial" w:hAnsi="Arial" w:cs="Arial"/>
          <w:sz w:val="22"/>
          <w:szCs w:val="22"/>
        </w:rPr>
        <w:t>En ese sentido, se incorpora la Convención Americana sobre Derechos Humanos (Pacto de San José, 1969), cuyo artículo 19 reconoce expresamente el derecho de los niños a recibir medidas especiales de protección por parte del Estado, de su familia y de la sociedad. Este mandato ha sido interpretado por la Corte Interamericana de Derechos Humanos en casos relacionados con violencia armada y reclutamiento forzado, como una obligación estatal de carácter reforzado.</w:t>
      </w:r>
    </w:p>
    <w:p w:rsidR="003D01F5" w:rsidRDefault="000D1D32">
      <w:pPr>
        <w:spacing w:before="240" w:after="240"/>
        <w:ind w:left="720"/>
        <w:jc w:val="both"/>
        <w:rPr>
          <w:rFonts w:ascii="Arial" w:eastAsia="Arial" w:hAnsi="Arial" w:cs="Arial"/>
          <w:i/>
          <w:sz w:val="22"/>
          <w:szCs w:val="22"/>
        </w:rPr>
      </w:pPr>
      <w:r>
        <w:rPr>
          <w:rFonts w:ascii="Arial" w:eastAsia="Arial" w:hAnsi="Arial" w:cs="Arial"/>
          <w:i/>
          <w:sz w:val="22"/>
          <w:szCs w:val="22"/>
        </w:rPr>
        <w:t xml:space="preserve">Artículo 19. Derechos del Niño. Todo niño tiene derecho a las medidas de protección que </w:t>
      </w:r>
      <w:proofErr w:type="gramStart"/>
      <w:r>
        <w:rPr>
          <w:rFonts w:ascii="Arial" w:eastAsia="Arial" w:hAnsi="Arial" w:cs="Arial"/>
          <w:i/>
          <w:sz w:val="22"/>
          <w:szCs w:val="22"/>
        </w:rPr>
        <w:t>su condición de menor requieren</w:t>
      </w:r>
      <w:proofErr w:type="gramEnd"/>
      <w:r>
        <w:rPr>
          <w:rFonts w:ascii="Arial" w:eastAsia="Arial" w:hAnsi="Arial" w:cs="Arial"/>
          <w:i/>
          <w:sz w:val="22"/>
          <w:szCs w:val="22"/>
        </w:rPr>
        <w:t xml:space="preserve"> por parte de su familia, de la sociedad y del Estado.</w:t>
      </w:r>
    </w:p>
    <w:p w:rsidR="003D01F5" w:rsidRDefault="000D1D32">
      <w:pPr>
        <w:spacing w:before="240" w:after="240"/>
        <w:jc w:val="both"/>
        <w:rPr>
          <w:rFonts w:ascii="Arial" w:eastAsia="Arial" w:hAnsi="Arial" w:cs="Arial"/>
          <w:sz w:val="22"/>
          <w:szCs w:val="22"/>
        </w:rPr>
      </w:pPr>
      <w:r>
        <w:rPr>
          <w:rFonts w:ascii="Arial" w:eastAsia="Arial" w:hAnsi="Arial" w:cs="Arial"/>
          <w:sz w:val="22"/>
          <w:szCs w:val="22"/>
        </w:rPr>
        <w:t>Asimismo, el Protocolo de San Salvador (1988), que desarrolla los derechos económicos, sociales y culturales en el sistema interamericano, resulta aplicable al establecer, en su artículo 13, el derecho a la educación como mecanismo para prevenir la violencia y garantizar el desarrollo integral. Igualmente, el artículo 16 consagra el derecho a la niñez como sujeto de protección especial.</w:t>
      </w:r>
    </w:p>
    <w:p w:rsidR="003D01F5" w:rsidRDefault="000D1D32">
      <w:pPr>
        <w:spacing w:before="240" w:after="240"/>
        <w:ind w:left="720"/>
        <w:jc w:val="both"/>
        <w:rPr>
          <w:rFonts w:ascii="Arial" w:eastAsia="Arial" w:hAnsi="Arial" w:cs="Arial"/>
          <w:i/>
          <w:sz w:val="22"/>
          <w:szCs w:val="22"/>
        </w:rPr>
      </w:pPr>
      <w:r>
        <w:rPr>
          <w:rFonts w:ascii="Arial" w:eastAsia="Arial" w:hAnsi="Arial" w:cs="Arial"/>
          <w:i/>
          <w:sz w:val="22"/>
          <w:szCs w:val="22"/>
        </w:rPr>
        <w:t xml:space="preserve">Artículo 13. Derechos a la Educación. Los Estados Partes en el Presente Protocolo convienen en que la educación deberá orientarse </w:t>
      </w:r>
      <w:proofErr w:type="spellStart"/>
      <w:r>
        <w:rPr>
          <w:rFonts w:ascii="Arial" w:eastAsia="Arial" w:hAnsi="Arial" w:cs="Arial"/>
          <w:i/>
          <w:sz w:val="22"/>
          <w:szCs w:val="22"/>
        </w:rPr>
        <w:t>hacía</w:t>
      </w:r>
      <w:proofErr w:type="spellEnd"/>
      <w:r>
        <w:rPr>
          <w:rFonts w:ascii="Arial" w:eastAsia="Arial" w:hAnsi="Arial" w:cs="Arial"/>
          <w:i/>
          <w:sz w:val="22"/>
          <w:szCs w:val="22"/>
        </w:rPr>
        <w:t xml:space="preserve"> el pleno desarrollo de la personalidad humana y del sentido de su dignidad y deberá fortalecer el respeto por los derechos humanos, el pluralismo ideológico, las libertades fundamentales, la justicia y la paz. </w:t>
      </w:r>
      <w:proofErr w:type="gramStart"/>
      <w:r>
        <w:rPr>
          <w:rFonts w:ascii="Arial" w:eastAsia="Arial" w:hAnsi="Arial" w:cs="Arial"/>
          <w:i/>
          <w:sz w:val="22"/>
          <w:szCs w:val="22"/>
        </w:rPr>
        <w:t>Convienen</w:t>
      </w:r>
      <w:proofErr w:type="gramEnd"/>
      <w:r>
        <w:rPr>
          <w:rFonts w:ascii="Arial" w:eastAsia="Arial" w:hAnsi="Arial" w:cs="Arial"/>
          <w:i/>
          <w:sz w:val="22"/>
          <w:szCs w:val="22"/>
        </w:rPr>
        <w:t xml:space="preserve"> asimismo, en que la educación debe capacitar a todas las personas para participar efectivamente en una sociedad democrática y pluralista, lograr una subsistencia digna, favorecer la comprensión, la tolerancia y la amistad entre todas las naciones y todos los grupos raciales, étnicos o religiosos y promover las actividades en favor del mantenimiento de la paz.</w:t>
      </w:r>
    </w:p>
    <w:p w:rsidR="003D01F5" w:rsidRDefault="000D1D32">
      <w:pPr>
        <w:spacing w:before="240" w:after="240"/>
        <w:ind w:left="720"/>
        <w:jc w:val="both"/>
        <w:rPr>
          <w:rFonts w:ascii="Arial" w:eastAsia="Arial" w:hAnsi="Arial" w:cs="Arial"/>
          <w:i/>
          <w:sz w:val="22"/>
          <w:szCs w:val="22"/>
        </w:rPr>
      </w:pPr>
      <w:r>
        <w:rPr>
          <w:rFonts w:ascii="Arial" w:eastAsia="Arial" w:hAnsi="Arial" w:cs="Arial"/>
          <w:i/>
          <w:sz w:val="22"/>
          <w:szCs w:val="22"/>
        </w:rPr>
        <w:t xml:space="preserve">Artículo 16. Derecho a la constitución y protección de la familia. Todo niño sea cual fuere su filiación tiene derecho a las medidas de protección que </w:t>
      </w:r>
      <w:proofErr w:type="gramStart"/>
      <w:r>
        <w:rPr>
          <w:rFonts w:ascii="Arial" w:eastAsia="Arial" w:hAnsi="Arial" w:cs="Arial"/>
          <w:i/>
          <w:sz w:val="22"/>
          <w:szCs w:val="22"/>
        </w:rPr>
        <w:t>su condición de menor requieren</w:t>
      </w:r>
      <w:proofErr w:type="gramEnd"/>
      <w:r>
        <w:rPr>
          <w:rFonts w:ascii="Arial" w:eastAsia="Arial" w:hAnsi="Arial" w:cs="Arial"/>
          <w:i/>
          <w:sz w:val="22"/>
          <w:szCs w:val="22"/>
        </w:rPr>
        <w:t xml:space="preserve"> por parte de su familia, de la sociedad y del Estado. Todo niño tiene el derecho a crecer al amparo y bajo la responsabilidad de sus padres; salvo </w:t>
      </w:r>
      <w:r>
        <w:rPr>
          <w:rFonts w:ascii="Arial" w:eastAsia="Arial" w:hAnsi="Arial" w:cs="Arial"/>
          <w:i/>
          <w:sz w:val="22"/>
          <w:szCs w:val="22"/>
        </w:rPr>
        <w:lastRenderedPageBreak/>
        <w:t xml:space="preserve">circunstancias excepcionales, reconocidas judicialmente, el niño de corta edad no debe ser separado de su madre. (...) </w:t>
      </w:r>
    </w:p>
    <w:p w:rsidR="003D01F5" w:rsidRDefault="000D1D32">
      <w:pPr>
        <w:spacing w:before="240" w:after="240"/>
        <w:jc w:val="both"/>
        <w:rPr>
          <w:rFonts w:ascii="Arial" w:eastAsia="Arial" w:hAnsi="Arial" w:cs="Arial"/>
          <w:sz w:val="22"/>
          <w:szCs w:val="22"/>
        </w:rPr>
      </w:pPr>
      <w:r>
        <w:rPr>
          <w:rFonts w:ascii="Arial" w:eastAsia="Arial" w:hAnsi="Arial" w:cs="Arial"/>
          <w:sz w:val="22"/>
          <w:szCs w:val="22"/>
        </w:rPr>
        <w:t>El Pacto Internacional de Derechos Civiles y Políticos (PIDCP) y el Pacto Internacional de Derechos Económicos, Sociales y Culturales (PIDESC) también complementan el marco. El primero, en su artículo 24, establece la obligación de adoptar medidas especiales de protección para los menores; y el segundo, en su artículo 10.3, prohíbe expresamente la explotación social y económica de niños y adolescentes, incluyendo su utilización en actividades ilícitas.</w:t>
      </w:r>
    </w:p>
    <w:p w:rsidR="003D01F5" w:rsidRDefault="000D1D32">
      <w:pPr>
        <w:spacing w:before="240" w:after="240"/>
        <w:ind w:left="720"/>
        <w:jc w:val="both"/>
        <w:rPr>
          <w:rFonts w:ascii="Arial" w:eastAsia="Arial" w:hAnsi="Arial" w:cs="Arial"/>
          <w:i/>
          <w:sz w:val="22"/>
          <w:szCs w:val="22"/>
        </w:rPr>
      </w:pPr>
      <w:r>
        <w:rPr>
          <w:rFonts w:ascii="Arial" w:eastAsia="Arial" w:hAnsi="Arial" w:cs="Arial"/>
          <w:i/>
          <w:sz w:val="22"/>
          <w:szCs w:val="22"/>
        </w:rPr>
        <w:t>Artículo 24</w:t>
      </w:r>
    </w:p>
    <w:p w:rsidR="003D01F5" w:rsidRDefault="000D1D32">
      <w:pPr>
        <w:spacing w:before="240" w:after="240"/>
        <w:ind w:left="720"/>
        <w:jc w:val="both"/>
        <w:rPr>
          <w:rFonts w:ascii="Arial" w:eastAsia="Arial" w:hAnsi="Arial" w:cs="Arial"/>
          <w:i/>
          <w:sz w:val="22"/>
          <w:szCs w:val="22"/>
        </w:rPr>
      </w:pPr>
      <w:r>
        <w:rPr>
          <w:rFonts w:ascii="Arial" w:eastAsia="Arial" w:hAnsi="Arial" w:cs="Arial"/>
          <w:i/>
          <w:sz w:val="22"/>
          <w:szCs w:val="22"/>
        </w:rPr>
        <w:t>1. Todo niño tiene derecho, sin discriminación alguna por motivos de raza, color, sexo, idioma, religión, origen nacional o social, posición económica o nacimiento, a las medidas de protección que su condición de menor requiere, tanto por parte de su familia como de la sociedad y del Estado.</w:t>
      </w:r>
    </w:p>
    <w:p w:rsidR="003D01F5" w:rsidRDefault="000D1D32">
      <w:pPr>
        <w:spacing w:before="240" w:after="240"/>
        <w:ind w:left="720"/>
        <w:jc w:val="both"/>
        <w:rPr>
          <w:rFonts w:ascii="Arial" w:eastAsia="Arial" w:hAnsi="Arial" w:cs="Arial"/>
          <w:i/>
          <w:sz w:val="22"/>
          <w:szCs w:val="22"/>
        </w:rPr>
      </w:pPr>
      <w:r>
        <w:rPr>
          <w:rFonts w:ascii="Arial" w:eastAsia="Arial" w:hAnsi="Arial" w:cs="Arial"/>
          <w:i/>
          <w:sz w:val="22"/>
          <w:szCs w:val="22"/>
        </w:rPr>
        <w:t>2. Todo niño será inscrito inmediatamente después de su nacimiento y deberá tener un nombre.</w:t>
      </w:r>
    </w:p>
    <w:p w:rsidR="003D01F5" w:rsidRDefault="000D1D32">
      <w:pPr>
        <w:spacing w:before="240" w:after="240"/>
        <w:ind w:left="720"/>
        <w:jc w:val="both"/>
        <w:rPr>
          <w:rFonts w:ascii="Arial" w:eastAsia="Arial" w:hAnsi="Arial" w:cs="Arial"/>
          <w:i/>
          <w:sz w:val="22"/>
          <w:szCs w:val="22"/>
        </w:rPr>
      </w:pPr>
      <w:r>
        <w:rPr>
          <w:rFonts w:ascii="Arial" w:eastAsia="Arial" w:hAnsi="Arial" w:cs="Arial"/>
          <w:i/>
          <w:sz w:val="22"/>
          <w:szCs w:val="22"/>
        </w:rPr>
        <w:t>3. Todo niño tiene derecho a adquirir una nacionalidad.</w:t>
      </w:r>
    </w:p>
    <w:p w:rsidR="003D01F5" w:rsidRDefault="000D1D32">
      <w:pPr>
        <w:spacing w:before="240" w:after="240"/>
        <w:jc w:val="both"/>
        <w:rPr>
          <w:rFonts w:ascii="Arial" w:eastAsia="Arial" w:hAnsi="Arial" w:cs="Arial"/>
          <w:sz w:val="22"/>
          <w:szCs w:val="22"/>
        </w:rPr>
      </w:pPr>
      <w:r>
        <w:rPr>
          <w:rFonts w:ascii="Arial" w:eastAsia="Arial" w:hAnsi="Arial" w:cs="Arial"/>
          <w:sz w:val="22"/>
          <w:szCs w:val="22"/>
        </w:rPr>
        <w:t>Por último, debe destacarse el Convenio 182 de la OIT sobre las peores formas de trabajo infantil (ratificado por Colombia mediante la Ley 704 de 2001), que identifica como una de dichas formas la participación de menores en actividades ilícitas como la producción y tráfico de estupefacientes. Este tratado es especialmente pertinente frente al fenómeno de instrumentalización criminal de adolescentes en contextos urbanos como el de Bogotá.</w:t>
      </w:r>
    </w:p>
    <w:p w:rsidR="003D01F5" w:rsidRDefault="000D1D32">
      <w:pPr>
        <w:ind w:left="720"/>
        <w:jc w:val="both"/>
        <w:rPr>
          <w:rFonts w:ascii="Arial" w:eastAsia="Arial" w:hAnsi="Arial" w:cs="Arial"/>
          <w:i/>
          <w:sz w:val="22"/>
          <w:szCs w:val="22"/>
        </w:rPr>
      </w:pPr>
      <w:r>
        <w:rPr>
          <w:rFonts w:ascii="Arial" w:eastAsia="Arial" w:hAnsi="Arial" w:cs="Arial"/>
          <w:i/>
          <w:sz w:val="22"/>
          <w:szCs w:val="22"/>
        </w:rPr>
        <w:t>Artículo 1. Todo Miembro que ratifique el presente Convenio deberá adoptar medidas inmediatas y eficaces para conseguir la prohibición y la eliminación de las peores formas de trabajo infantil con carácter de urgencia.</w:t>
      </w:r>
    </w:p>
    <w:p w:rsidR="003D01F5" w:rsidRDefault="003D01F5">
      <w:pPr>
        <w:jc w:val="both"/>
        <w:rPr>
          <w:rFonts w:ascii="Arial" w:eastAsia="Arial" w:hAnsi="Arial" w:cs="Arial"/>
          <w:sz w:val="22"/>
          <w:szCs w:val="22"/>
        </w:rPr>
      </w:pPr>
    </w:p>
    <w:p w:rsidR="003D01F5" w:rsidRDefault="000D1D32">
      <w:pPr>
        <w:numPr>
          <w:ilvl w:val="0"/>
          <w:numId w:val="7"/>
        </w:numPr>
        <w:jc w:val="both"/>
        <w:rPr>
          <w:rFonts w:ascii="Arial" w:eastAsia="Arial" w:hAnsi="Arial" w:cs="Arial"/>
          <w:b/>
          <w:sz w:val="22"/>
          <w:szCs w:val="22"/>
        </w:rPr>
      </w:pPr>
      <w:r>
        <w:rPr>
          <w:rFonts w:ascii="Arial" w:eastAsia="Arial" w:hAnsi="Arial" w:cs="Arial"/>
          <w:b/>
          <w:sz w:val="22"/>
          <w:szCs w:val="22"/>
          <w:u w:val="single"/>
        </w:rPr>
        <w:t>Marco de Constitucionalidad</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sz w:val="22"/>
          <w:szCs w:val="22"/>
        </w:rPr>
        <w:t xml:space="preserve">Desde el orden interno, además de los artículos ya considerados en el proyecto (como los artículos 44, 22 y 45), otras disposiciones constitucionales refuerzan el deber del Estado de prevenir y enfrentar fenómenos como el reclutamiento y uso de menores estructuras armadas y delictivas. </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sz w:val="22"/>
          <w:szCs w:val="22"/>
        </w:rPr>
        <w:t xml:space="preserve">El artículo 1° de la Constitución consagra a Colombia como un Estado social de derecho fundado en la dignidad humana, la solidaridad y la prevalencia del interés general. Este principio obliga a diseñar políticas públicas de prevención con enfoque en derechos humanos y justicia social. </w:t>
      </w:r>
    </w:p>
    <w:p w:rsidR="003D01F5" w:rsidRDefault="003D01F5">
      <w:pPr>
        <w:jc w:val="both"/>
        <w:rPr>
          <w:rFonts w:ascii="Arial" w:eastAsia="Arial" w:hAnsi="Arial" w:cs="Arial"/>
          <w:sz w:val="22"/>
          <w:szCs w:val="22"/>
        </w:rPr>
      </w:pPr>
    </w:p>
    <w:p w:rsidR="003D01F5" w:rsidRDefault="000D1D32">
      <w:pPr>
        <w:ind w:left="720"/>
        <w:jc w:val="both"/>
        <w:rPr>
          <w:rFonts w:ascii="Arial" w:eastAsia="Arial" w:hAnsi="Arial" w:cs="Arial"/>
          <w:i/>
          <w:sz w:val="22"/>
          <w:szCs w:val="22"/>
        </w:rPr>
      </w:pPr>
      <w:r>
        <w:rPr>
          <w:rFonts w:ascii="Arial" w:eastAsia="Arial" w:hAnsi="Arial" w:cs="Arial"/>
          <w:i/>
          <w:sz w:val="22"/>
          <w:szCs w:val="22"/>
        </w:rPr>
        <w:t xml:space="preserve">ARTÍCULO 1. Colombia es un Estado social de derecho, organizado en forma de República unitaria, descentralizada, con autonomía de sus entidades territoriales, </w:t>
      </w:r>
      <w:r>
        <w:rPr>
          <w:rFonts w:ascii="Arial" w:eastAsia="Arial" w:hAnsi="Arial" w:cs="Arial"/>
          <w:i/>
          <w:sz w:val="22"/>
          <w:szCs w:val="22"/>
        </w:rPr>
        <w:lastRenderedPageBreak/>
        <w:t>democrática, participativa y pluralista, fundada en el respeto de la dignidad humana, en el trabajo y la solidaridad de las personas que la integran y en la prevalencia del interés general.</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sz w:val="22"/>
          <w:szCs w:val="22"/>
        </w:rPr>
        <w:t>El artículo 2º establece como fines esenciales del Estado la garantía de los derechos fundamentales, la convivencia pacífica y la protección de todas las personas residentes en Colombia, especialmente aquellas en condiciones de vulnerabilidad, como los NNAJ expuestos a economías ilegales y violencia organizada.</w:t>
      </w:r>
    </w:p>
    <w:p w:rsidR="003D01F5" w:rsidRDefault="003D01F5">
      <w:pPr>
        <w:jc w:val="both"/>
        <w:rPr>
          <w:rFonts w:ascii="Arial" w:eastAsia="Arial" w:hAnsi="Arial" w:cs="Arial"/>
          <w:sz w:val="22"/>
          <w:szCs w:val="22"/>
        </w:rPr>
      </w:pPr>
    </w:p>
    <w:p w:rsidR="003D01F5" w:rsidRDefault="000D1D32">
      <w:pPr>
        <w:ind w:left="720"/>
        <w:jc w:val="both"/>
        <w:rPr>
          <w:rFonts w:ascii="Arial" w:eastAsia="Arial" w:hAnsi="Arial" w:cs="Arial"/>
          <w:i/>
          <w:sz w:val="22"/>
          <w:szCs w:val="22"/>
        </w:rPr>
      </w:pPr>
      <w:r>
        <w:rPr>
          <w:rFonts w:ascii="Arial" w:eastAsia="Arial" w:hAnsi="Arial" w:cs="Arial"/>
          <w:i/>
          <w:sz w:val="22"/>
          <w:szCs w:val="22"/>
        </w:rPr>
        <w:t>ARTÍCULO 2. 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p>
    <w:p w:rsidR="003D01F5" w:rsidRDefault="003D01F5">
      <w:pPr>
        <w:ind w:left="720"/>
        <w:jc w:val="both"/>
        <w:rPr>
          <w:rFonts w:ascii="Arial" w:eastAsia="Arial" w:hAnsi="Arial" w:cs="Arial"/>
          <w:i/>
          <w:sz w:val="22"/>
          <w:szCs w:val="22"/>
        </w:rPr>
      </w:pPr>
    </w:p>
    <w:p w:rsidR="003D01F5" w:rsidRDefault="000D1D32">
      <w:pPr>
        <w:ind w:left="720"/>
        <w:jc w:val="both"/>
        <w:rPr>
          <w:rFonts w:ascii="Arial" w:eastAsia="Arial" w:hAnsi="Arial" w:cs="Arial"/>
          <w:sz w:val="22"/>
          <w:szCs w:val="22"/>
        </w:rPr>
      </w:pPr>
      <w:r>
        <w:rPr>
          <w:rFonts w:ascii="Arial" w:eastAsia="Arial" w:hAnsi="Arial" w:cs="Arial"/>
          <w:i/>
          <w:sz w:val="22"/>
          <w:szCs w:val="22"/>
        </w:rPr>
        <w:t>Las autoridades de la República están instituidas para proteger a todas las personas residentes en Colombia, en su vida, honra, bienes, creencias, y demás derechos y libertades, y para asegurar el cumplimiento de los deberes sociales del Estado y de los particulares.</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sz w:val="22"/>
          <w:szCs w:val="22"/>
        </w:rPr>
        <w:t>El artículo 5º reconoce la primacía de los derechos inalienables de la persona y el deber del Estado de protegerlos, lo cual abarca de forma implícita a la niñez y juventud frente a amenazas estructurales.</w:t>
      </w:r>
    </w:p>
    <w:p w:rsidR="003D01F5" w:rsidRDefault="003D01F5">
      <w:pPr>
        <w:jc w:val="both"/>
        <w:rPr>
          <w:rFonts w:ascii="Arial" w:eastAsia="Arial" w:hAnsi="Arial" w:cs="Arial"/>
          <w:sz w:val="22"/>
          <w:szCs w:val="22"/>
        </w:rPr>
      </w:pPr>
    </w:p>
    <w:p w:rsidR="003D01F5" w:rsidRDefault="000D1D32">
      <w:pPr>
        <w:ind w:left="720"/>
        <w:jc w:val="both"/>
        <w:rPr>
          <w:rFonts w:ascii="Arial" w:eastAsia="Arial" w:hAnsi="Arial" w:cs="Arial"/>
          <w:sz w:val="22"/>
          <w:szCs w:val="22"/>
        </w:rPr>
      </w:pPr>
      <w:r>
        <w:rPr>
          <w:rFonts w:ascii="Arial" w:eastAsia="Arial" w:hAnsi="Arial" w:cs="Arial"/>
          <w:i/>
          <w:sz w:val="22"/>
          <w:szCs w:val="22"/>
        </w:rPr>
        <w:t>ARTÍCULO 5. El Estado reconoce, sin discriminación alguna, la primacía de los derechos inalienables de la persona y ampara a la familia como institución básica de la sociedad.</w:t>
      </w:r>
    </w:p>
    <w:p w:rsidR="003D01F5" w:rsidRDefault="003D01F5">
      <w:pPr>
        <w:jc w:val="both"/>
        <w:rPr>
          <w:rFonts w:ascii="Arial" w:eastAsia="Arial" w:hAnsi="Arial" w:cs="Arial"/>
          <w:sz w:val="22"/>
          <w:szCs w:val="22"/>
        </w:rPr>
      </w:pPr>
    </w:p>
    <w:p w:rsidR="003D01F5" w:rsidRDefault="000D1D32">
      <w:pPr>
        <w:numPr>
          <w:ilvl w:val="0"/>
          <w:numId w:val="6"/>
        </w:numPr>
        <w:jc w:val="both"/>
        <w:rPr>
          <w:rFonts w:ascii="Arial" w:eastAsia="Arial" w:hAnsi="Arial" w:cs="Arial"/>
          <w:b/>
          <w:sz w:val="22"/>
          <w:szCs w:val="22"/>
        </w:rPr>
      </w:pPr>
      <w:r>
        <w:rPr>
          <w:rFonts w:ascii="Arial" w:eastAsia="Arial" w:hAnsi="Arial" w:cs="Arial"/>
          <w:b/>
          <w:sz w:val="22"/>
          <w:szCs w:val="22"/>
          <w:u w:val="single"/>
        </w:rPr>
        <w:t>Marco legal</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sz w:val="22"/>
          <w:szCs w:val="22"/>
        </w:rPr>
        <w:t>A nivel legal, pueden complementarse las disposiciones del proyecto con otras normas de carácter sustantivo y de política pública que no fueron incluidas inicialmente.</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sz w:val="22"/>
          <w:szCs w:val="22"/>
        </w:rPr>
        <w:t>En primer lugar, la Ley 418 de 1997, modificada por la Ley 2272 de 2022, establece mecanismos para la búsqueda de la paz total, incluyendo medidas para la protección de la población civil frente a amenazas armadas. Esta ley permite que autoridades territoriales participen en estrategias de prevención del reclutamiento en escenarios urbanos donde persisten estructuras armadas residuales o nuevas formas de criminalidad organizada.</w:t>
      </w:r>
    </w:p>
    <w:p w:rsidR="003D01F5" w:rsidRDefault="003D01F5">
      <w:pPr>
        <w:jc w:val="both"/>
        <w:rPr>
          <w:rFonts w:ascii="Arial" w:eastAsia="Arial" w:hAnsi="Arial" w:cs="Arial"/>
        </w:rPr>
      </w:pPr>
    </w:p>
    <w:p w:rsidR="003D01F5" w:rsidRDefault="000D1D32">
      <w:pPr>
        <w:ind w:left="720"/>
        <w:jc w:val="both"/>
        <w:rPr>
          <w:rFonts w:ascii="Arial" w:eastAsia="Arial" w:hAnsi="Arial" w:cs="Arial"/>
          <w:i/>
          <w:sz w:val="20"/>
          <w:szCs w:val="20"/>
        </w:rPr>
      </w:pPr>
      <w:r>
        <w:rPr>
          <w:rFonts w:ascii="Arial" w:eastAsia="Arial" w:hAnsi="Arial" w:cs="Arial"/>
          <w:i/>
          <w:sz w:val="20"/>
          <w:szCs w:val="20"/>
        </w:rPr>
        <w:t>ARTÍCULO 3°. El Estado propenderá por el establecimiento de un orden social justo que asegure la convivencia pacífica, la protección de la naturaleza y de los derechos y libertades de las personas, con enfoque diferencial y adoptará medidas en favor de grupos discriminados o marginados, tendientes a lograr condiciones de igualdad real y a proveer a todos de las mismas oportunidades para su adecuado desarrollo, el de su familia y su grupo social.</w:t>
      </w:r>
    </w:p>
    <w:p w:rsidR="003D01F5" w:rsidRDefault="003D01F5">
      <w:pPr>
        <w:jc w:val="both"/>
        <w:rPr>
          <w:rFonts w:ascii="Arial" w:eastAsia="Arial" w:hAnsi="Arial" w:cs="Arial"/>
        </w:rPr>
      </w:pPr>
    </w:p>
    <w:p w:rsidR="003D01F5" w:rsidRDefault="000D1D32">
      <w:pPr>
        <w:jc w:val="both"/>
        <w:rPr>
          <w:rFonts w:ascii="Arial" w:eastAsia="Arial" w:hAnsi="Arial" w:cs="Arial"/>
          <w:sz w:val="22"/>
          <w:szCs w:val="22"/>
        </w:rPr>
      </w:pPr>
      <w:r>
        <w:rPr>
          <w:rFonts w:ascii="Arial" w:eastAsia="Arial" w:hAnsi="Arial" w:cs="Arial"/>
          <w:sz w:val="22"/>
          <w:szCs w:val="22"/>
        </w:rPr>
        <w:t>Igualmente, el Código Penal Colombiano, además de los artículos ya citados, contiene otras disposiciones relevantes, como los artículos 213-A al 218, que complementan el enfoque de protección frente a la explotación sexual.</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sz w:val="22"/>
          <w:szCs w:val="22"/>
        </w:rPr>
        <w:t>La Ley 1453 de 2011, conocida como Ley de Seguridad Ciudadana, establece medidas para garantizar la seguridad ciudadana relacionadas con el Código de la Infancia y la Adolescencia.</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sz w:val="22"/>
          <w:szCs w:val="22"/>
        </w:rPr>
        <w:t>De manera transversal, la Ley 1622 de 2013, por medio de la cual se expide el Estatuto de Ciudadanía Juvenil, reconoce a los jóvenes como sujetos de derechos y promueve su participación activa en la formulación de políticas públicas, aspecto fundamental en los procesos de prevención comunitaria del reclutamiento y la violencia.</w:t>
      </w:r>
    </w:p>
    <w:p w:rsidR="003D01F5" w:rsidRDefault="003D01F5">
      <w:pPr>
        <w:jc w:val="both"/>
        <w:rPr>
          <w:rFonts w:ascii="Arial" w:eastAsia="Arial" w:hAnsi="Arial" w:cs="Arial"/>
        </w:rPr>
      </w:pPr>
    </w:p>
    <w:p w:rsidR="003D01F5" w:rsidRDefault="000D1D32">
      <w:pPr>
        <w:ind w:left="720"/>
        <w:jc w:val="both"/>
        <w:rPr>
          <w:rFonts w:ascii="Arial" w:eastAsia="Arial" w:hAnsi="Arial" w:cs="Arial"/>
          <w:sz w:val="22"/>
          <w:szCs w:val="22"/>
        </w:rPr>
      </w:pPr>
      <w:r>
        <w:rPr>
          <w:rFonts w:ascii="Arial" w:eastAsia="Arial" w:hAnsi="Arial" w:cs="Arial"/>
          <w:i/>
          <w:sz w:val="20"/>
          <w:szCs w:val="20"/>
        </w:rPr>
        <w:t>ARTÍCULO 1. Objeto. Establecer el marco institucional para garantizar a todos los y las jóvenes el ejercicio pleno de la ciudadanía juvenil en los ámbitos, civil o personal, social y público, el goce efectivo de los derechos reconocidos en el ordenamiento jurídico interno y lo ratificado en los Tratados Internacionales, y la adopción de las políticas públicas necesarias para su realización, protección y sostenibilidad; y para el fortalecimiento de sus capacidades y condiciones de igualdad de acceso que faciliten su participación e incidencia en la vida social, económica, cultural y democrática del país.</w:t>
      </w:r>
    </w:p>
    <w:p w:rsidR="003D01F5" w:rsidRDefault="003D01F5">
      <w:pPr>
        <w:jc w:val="both"/>
        <w:rPr>
          <w:rFonts w:ascii="Arial" w:eastAsia="Arial" w:hAnsi="Arial" w:cs="Arial"/>
          <w:sz w:val="22"/>
          <w:szCs w:val="22"/>
        </w:rPr>
      </w:pPr>
    </w:p>
    <w:p w:rsidR="003D01F5" w:rsidRDefault="000D1D32">
      <w:pPr>
        <w:numPr>
          <w:ilvl w:val="0"/>
          <w:numId w:val="4"/>
        </w:numPr>
        <w:pBdr>
          <w:top w:val="nil"/>
          <w:left w:val="nil"/>
          <w:bottom w:val="nil"/>
          <w:right w:val="nil"/>
          <w:between w:val="nil"/>
        </w:pBdr>
        <w:spacing w:after="160"/>
        <w:jc w:val="both"/>
        <w:rPr>
          <w:rFonts w:ascii="Arial" w:eastAsia="Arial" w:hAnsi="Arial" w:cs="Arial"/>
          <w:b/>
          <w:color w:val="000000"/>
          <w:sz w:val="22"/>
          <w:szCs w:val="22"/>
        </w:rPr>
      </w:pPr>
      <w:r>
        <w:rPr>
          <w:rFonts w:ascii="Arial" w:eastAsia="Arial" w:hAnsi="Arial" w:cs="Arial"/>
          <w:b/>
          <w:color w:val="000000"/>
          <w:sz w:val="22"/>
          <w:szCs w:val="22"/>
        </w:rPr>
        <w:t>CONSIDERACIONES DE LA PONENCIA</w:t>
      </w:r>
    </w:p>
    <w:p w:rsidR="003D01F5" w:rsidRDefault="000D1D32">
      <w:pPr>
        <w:jc w:val="both"/>
        <w:rPr>
          <w:rFonts w:ascii="Arial" w:eastAsia="Arial" w:hAnsi="Arial" w:cs="Arial"/>
          <w:sz w:val="22"/>
          <w:szCs w:val="22"/>
        </w:rPr>
      </w:pPr>
      <w:r>
        <w:rPr>
          <w:rFonts w:ascii="Arial" w:eastAsia="Arial" w:hAnsi="Arial" w:cs="Arial"/>
          <w:sz w:val="22"/>
          <w:szCs w:val="22"/>
        </w:rPr>
        <w:t xml:space="preserve">La iniciativa presentada por los honorables concejales Armando </w:t>
      </w:r>
      <w:proofErr w:type="spellStart"/>
      <w:r>
        <w:rPr>
          <w:rFonts w:ascii="Arial" w:eastAsia="Arial" w:hAnsi="Arial" w:cs="Arial"/>
          <w:sz w:val="22"/>
          <w:szCs w:val="22"/>
        </w:rPr>
        <w:t>Gutierrez</w:t>
      </w:r>
      <w:proofErr w:type="spellEnd"/>
      <w:r>
        <w:rPr>
          <w:rFonts w:ascii="Arial" w:eastAsia="Arial" w:hAnsi="Arial" w:cs="Arial"/>
          <w:sz w:val="22"/>
          <w:szCs w:val="22"/>
        </w:rPr>
        <w:t xml:space="preserve"> </w:t>
      </w:r>
      <w:proofErr w:type="spellStart"/>
      <w:r>
        <w:rPr>
          <w:rFonts w:ascii="Arial" w:eastAsia="Arial" w:hAnsi="Arial" w:cs="Arial"/>
          <w:sz w:val="22"/>
          <w:szCs w:val="22"/>
        </w:rPr>
        <w:t>Gonzalez</w:t>
      </w:r>
      <w:proofErr w:type="spellEnd"/>
      <w:r>
        <w:rPr>
          <w:rFonts w:ascii="Arial" w:eastAsia="Arial" w:hAnsi="Arial" w:cs="Arial"/>
          <w:sz w:val="22"/>
          <w:szCs w:val="22"/>
        </w:rPr>
        <w:t xml:space="preserve">, Samir </w:t>
      </w:r>
      <w:proofErr w:type="spellStart"/>
      <w:r>
        <w:rPr>
          <w:rFonts w:ascii="Arial" w:eastAsia="Arial" w:hAnsi="Arial" w:cs="Arial"/>
          <w:sz w:val="22"/>
          <w:szCs w:val="22"/>
        </w:rPr>
        <w:t>Jose</w:t>
      </w:r>
      <w:proofErr w:type="spellEnd"/>
      <w:r>
        <w:rPr>
          <w:rFonts w:ascii="Arial" w:eastAsia="Arial" w:hAnsi="Arial" w:cs="Arial"/>
          <w:sz w:val="22"/>
          <w:szCs w:val="22"/>
        </w:rPr>
        <w:t xml:space="preserve"> </w:t>
      </w:r>
      <w:proofErr w:type="spellStart"/>
      <w:r>
        <w:rPr>
          <w:rFonts w:ascii="Arial" w:eastAsia="Arial" w:hAnsi="Arial" w:cs="Arial"/>
          <w:sz w:val="22"/>
          <w:szCs w:val="22"/>
        </w:rPr>
        <w:t>Abisambra</w:t>
      </w:r>
      <w:proofErr w:type="spellEnd"/>
      <w:r>
        <w:rPr>
          <w:rFonts w:ascii="Arial" w:eastAsia="Arial" w:hAnsi="Arial" w:cs="Arial"/>
          <w:sz w:val="22"/>
          <w:szCs w:val="22"/>
        </w:rPr>
        <w:t xml:space="preserve"> </w:t>
      </w:r>
      <w:proofErr w:type="spellStart"/>
      <w:r>
        <w:rPr>
          <w:rFonts w:ascii="Arial" w:eastAsia="Arial" w:hAnsi="Arial" w:cs="Arial"/>
          <w:sz w:val="22"/>
          <w:szCs w:val="22"/>
        </w:rPr>
        <w:t>Vesga</w:t>
      </w:r>
      <w:proofErr w:type="spellEnd"/>
      <w:r>
        <w:rPr>
          <w:rFonts w:ascii="Arial" w:eastAsia="Arial" w:hAnsi="Arial" w:cs="Arial"/>
          <w:sz w:val="22"/>
          <w:szCs w:val="22"/>
        </w:rPr>
        <w:t xml:space="preserve">, </w:t>
      </w:r>
      <w:proofErr w:type="spellStart"/>
      <w:r>
        <w:rPr>
          <w:rFonts w:ascii="Arial" w:eastAsia="Arial" w:hAnsi="Arial" w:cs="Arial"/>
          <w:sz w:val="22"/>
          <w:szCs w:val="22"/>
        </w:rPr>
        <w:t>Dario</w:t>
      </w:r>
      <w:proofErr w:type="spellEnd"/>
      <w:r>
        <w:rPr>
          <w:rFonts w:ascii="Arial" w:eastAsia="Arial" w:hAnsi="Arial" w:cs="Arial"/>
          <w:sz w:val="22"/>
          <w:szCs w:val="22"/>
        </w:rPr>
        <w:t xml:space="preserve"> Fernando Cepeda, German Augusto </w:t>
      </w:r>
      <w:proofErr w:type="spellStart"/>
      <w:r>
        <w:rPr>
          <w:rFonts w:ascii="Arial" w:eastAsia="Arial" w:hAnsi="Arial" w:cs="Arial"/>
          <w:sz w:val="22"/>
          <w:szCs w:val="22"/>
        </w:rPr>
        <w:t>Garcia</w:t>
      </w:r>
      <w:proofErr w:type="spellEnd"/>
      <w:r>
        <w:rPr>
          <w:rFonts w:ascii="Arial" w:eastAsia="Arial" w:hAnsi="Arial" w:cs="Arial"/>
          <w:sz w:val="22"/>
          <w:szCs w:val="22"/>
        </w:rPr>
        <w:t xml:space="preserve"> Maya, </w:t>
      </w:r>
      <w:proofErr w:type="spellStart"/>
      <w:r>
        <w:rPr>
          <w:rFonts w:ascii="Arial" w:eastAsia="Arial" w:hAnsi="Arial" w:cs="Arial"/>
          <w:sz w:val="22"/>
          <w:szCs w:val="22"/>
        </w:rPr>
        <w:t>Maria</w:t>
      </w:r>
      <w:proofErr w:type="spellEnd"/>
      <w:r>
        <w:rPr>
          <w:rFonts w:ascii="Arial" w:eastAsia="Arial" w:hAnsi="Arial" w:cs="Arial"/>
          <w:sz w:val="22"/>
          <w:szCs w:val="22"/>
        </w:rPr>
        <w:t xml:space="preserve"> Victoria Vargas Silva, Clara Lucia Sandoval </w:t>
      </w:r>
      <w:proofErr w:type="spellStart"/>
      <w:r>
        <w:rPr>
          <w:rFonts w:ascii="Arial" w:eastAsia="Arial" w:hAnsi="Arial" w:cs="Arial"/>
          <w:sz w:val="22"/>
          <w:szCs w:val="22"/>
        </w:rPr>
        <w:t>Moreno,Andres</w:t>
      </w:r>
      <w:proofErr w:type="spellEnd"/>
      <w:r>
        <w:rPr>
          <w:rFonts w:ascii="Arial" w:eastAsia="Arial" w:hAnsi="Arial" w:cs="Arial"/>
          <w:sz w:val="22"/>
          <w:szCs w:val="22"/>
        </w:rPr>
        <w:t xml:space="preserve"> </w:t>
      </w:r>
      <w:proofErr w:type="spellStart"/>
      <w:r>
        <w:rPr>
          <w:rFonts w:ascii="Arial" w:eastAsia="Arial" w:hAnsi="Arial" w:cs="Arial"/>
          <w:sz w:val="22"/>
          <w:szCs w:val="22"/>
        </w:rPr>
        <w:t>Garcia</w:t>
      </w:r>
      <w:proofErr w:type="spellEnd"/>
      <w:r>
        <w:rPr>
          <w:rFonts w:ascii="Arial" w:eastAsia="Arial" w:hAnsi="Arial" w:cs="Arial"/>
          <w:sz w:val="22"/>
          <w:szCs w:val="22"/>
        </w:rPr>
        <w:t xml:space="preserve"> Vargas de la bancada del partido Liberal Colombiano; </w:t>
      </w:r>
      <w:proofErr w:type="spellStart"/>
      <w:r>
        <w:rPr>
          <w:rFonts w:ascii="Arial" w:eastAsia="Arial" w:hAnsi="Arial" w:cs="Arial"/>
          <w:sz w:val="22"/>
          <w:szCs w:val="22"/>
        </w:rPr>
        <w:t>Maria</w:t>
      </w:r>
      <w:proofErr w:type="spellEnd"/>
      <w:r>
        <w:rPr>
          <w:rFonts w:ascii="Arial" w:eastAsia="Arial" w:hAnsi="Arial" w:cs="Arial"/>
          <w:sz w:val="22"/>
          <w:szCs w:val="22"/>
        </w:rPr>
        <w:t xml:space="preserve"> Clara </w:t>
      </w:r>
      <w:proofErr w:type="spellStart"/>
      <w:r>
        <w:rPr>
          <w:rFonts w:ascii="Arial" w:eastAsia="Arial" w:hAnsi="Arial" w:cs="Arial"/>
          <w:sz w:val="22"/>
          <w:szCs w:val="22"/>
        </w:rPr>
        <w:t>Name</w:t>
      </w:r>
      <w:proofErr w:type="spellEnd"/>
      <w:r>
        <w:rPr>
          <w:rFonts w:ascii="Arial" w:eastAsia="Arial" w:hAnsi="Arial" w:cs="Arial"/>
          <w:sz w:val="22"/>
          <w:szCs w:val="22"/>
        </w:rPr>
        <w:t xml:space="preserve"> </w:t>
      </w:r>
      <w:proofErr w:type="spellStart"/>
      <w:r>
        <w:rPr>
          <w:rFonts w:ascii="Arial" w:eastAsia="Arial" w:hAnsi="Arial" w:cs="Arial"/>
          <w:sz w:val="22"/>
          <w:szCs w:val="22"/>
        </w:rPr>
        <w:t>Ramirez</w:t>
      </w:r>
      <w:proofErr w:type="spellEnd"/>
      <w:r>
        <w:rPr>
          <w:rFonts w:ascii="Arial" w:eastAsia="Arial" w:hAnsi="Arial" w:cs="Arial"/>
          <w:sz w:val="22"/>
          <w:szCs w:val="22"/>
        </w:rPr>
        <w:t xml:space="preserve">, </w:t>
      </w:r>
      <w:proofErr w:type="spellStart"/>
      <w:r>
        <w:rPr>
          <w:rFonts w:ascii="Arial" w:eastAsia="Arial" w:hAnsi="Arial" w:cs="Arial"/>
          <w:sz w:val="22"/>
          <w:szCs w:val="22"/>
        </w:rPr>
        <w:t>Andres</w:t>
      </w:r>
      <w:proofErr w:type="spellEnd"/>
      <w:r>
        <w:rPr>
          <w:rFonts w:ascii="Arial" w:eastAsia="Arial" w:hAnsi="Arial" w:cs="Arial"/>
          <w:sz w:val="22"/>
          <w:szCs w:val="22"/>
        </w:rPr>
        <w:t xml:space="preserve"> </w:t>
      </w:r>
      <w:proofErr w:type="spellStart"/>
      <w:r>
        <w:rPr>
          <w:rFonts w:ascii="Arial" w:eastAsia="Arial" w:hAnsi="Arial" w:cs="Arial"/>
          <w:sz w:val="22"/>
          <w:szCs w:val="22"/>
        </w:rPr>
        <w:t>Dario</w:t>
      </w:r>
      <w:proofErr w:type="spellEnd"/>
      <w:r>
        <w:rPr>
          <w:rFonts w:ascii="Arial" w:eastAsia="Arial" w:hAnsi="Arial" w:cs="Arial"/>
          <w:sz w:val="22"/>
          <w:szCs w:val="22"/>
        </w:rPr>
        <w:t xml:space="preserve"> </w:t>
      </w:r>
      <w:proofErr w:type="spellStart"/>
      <w:r>
        <w:rPr>
          <w:rFonts w:ascii="Arial" w:eastAsia="Arial" w:hAnsi="Arial" w:cs="Arial"/>
          <w:sz w:val="22"/>
          <w:szCs w:val="22"/>
        </w:rPr>
        <w:t>Onzaga</w:t>
      </w:r>
      <w:proofErr w:type="spellEnd"/>
      <w:r>
        <w:rPr>
          <w:rFonts w:ascii="Arial" w:eastAsia="Arial" w:hAnsi="Arial" w:cs="Arial"/>
          <w:sz w:val="22"/>
          <w:szCs w:val="22"/>
        </w:rPr>
        <w:t xml:space="preserve"> de la bancada del partido Alianza Verde; </w:t>
      </w:r>
      <w:proofErr w:type="spellStart"/>
      <w:r>
        <w:rPr>
          <w:rFonts w:ascii="Arial" w:eastAsia="Arial" w:hAnsi="Arial" w:cs="Arial"/>
          <w:sz w:val="22"/>
          <w:szCs w:val="22"/>
        </w:rPr>
        <w:t>Rocio</w:t>
      </w:r>
      <w:proofErr w:type="spellEnd"/>
      <w:r>
        <w:rPr>
          <w:rFonts w:ascii="Arial" w:eastAsia="Arial" w:hAnsi="Arial" w:cs="Arial"/>
          <w:sz w:val="22"/>
          <w:szCs w:val="22"/>
        </w:rPr>
        <w:t xml:space="preserve"> </w:t>
      </w:r>
      <w:proofErr w:type="spellStart"/>
      <w:r>
        <w:rPr>
          <w:rFonts w:ascii="Arial" w:eastAsia="Arial" w:hAnsi="Arial" w:cs="Arial"/>
          <w:sz w:val="22"/>
          <w:szCs w:val="22"/>
        </w:rPr>
        <w:t>Dussan</w:t>
      </w:r>
      <w:proofErr w:type="spellEnd"/>
      <w:r>
        <w:rPr>
          <w:rFonts w:ascii="Arial" w:eastAsia="Arial" w:hAnsi="Arial" w:cs="Arial"/>
          <w:sz w:val="22"/>
          <w:szCs w:val="22"/>
        </w:rPr>
        <w:t xml:space="preserve"> </w:t>
      </w:r>
      <w:proofErr w:type="spellStart"/>
      <w:r>
        <w:rPr>
          <w:rFonts w:ascii="Arial" w:eastAsia="Arial" w:hAnsi="Arial" w:cs="Arial"/>
          <w:sz w:val="22"/>
          <w:szCs w:val="22"/>
        </w:rPr>
        <w:t>Perez</w:t>
      </w:r>
      <w:proofErr w:type="spellEnd"/>
      <w:r>
        <w:rPr>
          <w:rFonts w:ascii="Arial" w:eastAsia="Arial" w:hAnsi="Arial" w:cs="Arial"/>
          <w:sz w:val="22"/>
          <w:szCs w:val="22"/>
        </w:rPr>
        <w:t xml:space="preserve"> de la bancada del Partido Polo Democrático; Fabián Puentes Sierra, Samir Bedoya </w:t>
      </w:r>
      <w:proofErr w:type="spellStart"/>
      <w:r>
        <w:rPr>
          <w:rFonts w:ascii="Arial" w:eastAsia="Arial" w:hAnsi="Arial" w:cs="Arial"/>
          <w:sz w:val="22"/>
          <w:szCs w:val="22"/>
        </w:rPr>
        <w:t>Piraquive</w:t>
      </w:r>
      <w:proofErr w:type="spellEnd"/>
      <w:r>
        <w:rPr>
          <w:rFonts w:ascii="Arial" w:eastAsia="Arial" w:hAnsi="Arial" w:cs="Arial"/>
          <w:sz w:val="22"/>
          <w:szCs w:val="22"/>
        </w:rPr>
        <w:t xml:space="preserve"> de la bancada Partido Político MIRA; Humberto Rafael </w:t>
      </w:r>
      <w:proofErr w:type="spellStart"/>
      <w:r>
        <w:rPr>
          <w:rFonts w:ascii="Arial" w:eastAsia="Arial" w:hAnsi="Arial" w:cs="Arial"/>
          <w:sz w:val="22"/>
          <w:szCs w:val="22"/>
        </w:rPr>
        <w:t>Amin</w:t>
      </w:r>
      <w:proofErr w:type="spellEnd"/>
      <w:r>
        <w:rPr>
          <w:rFonts w:ascii="Arial" w:eastAsia="Arial" w:hAnsi="Arial" w:cs="Arial"/>
          <w:sz w:val="22"/>
          <w:szCs w:val="22"/>
        </w:rPr>
        <w:t xml:space="preserve"> de la bancada del Partido Centro Democrático y </w:t>
      </w:r>
      <w:proofErr w:type="spellStart"/>
      <w:r>
        <w:rPr>
          <w:rFonts w:ascii="Arial" w:eastAsia="Arial" w:hAnsi="Arial" w:cs="Arial"/>
          <w:sz w:val="22"/>
          <w:szCs w:val="22"/>
        </w:rPr>
        <w:t>Emel</w:t>
      </w:r>
      <w:proofErr w:type="spellEnd"/>
      <w:r>
        <w:rPr>
          <w:rFonts w:ascii="Arial" w:eastAsia="Arial" w:hAnsi="Arial" w:cs="Arial"/>
          <w:sz w:val="22"/>
          <w:szCs w:val="22"/>
        </w:rPr>
        <w:t xml:space="preserve"> Rojas Castillo de la bancada del Partido Nueva Fuerza Democrática, plantea lineamientos para prevenir el reclutamiento utilización, usó, violencia y explotación sexual en contra de niños, niñas, adolescentes y jóvenes (NNA) por parte de grupos armados organizados (GAO) y grupos delictivos organizados (GDO) en Bogotá D.C. </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b/>
          <w:color w:val="000000"/>
          <w:sz w:val="22"/>
          <w:szCs w:val="22"/>
        </w:rPr>
      </w:pPr>
      <w:r>
        <w:rPr>
          <w:rFonts w:ascii="Arial" w:eastAsia="Arial" w:hAnsi="Arial" w:cs="Arial"/>
          <w:b/>
          <w:color w:val="000000"/>
          <w:sz w:val="22"/>
          <w:szCs w:val="22"/>
        </w:rPr>
        <w:t>Experiencia Internacional</w:t>
      </w:r>
    </w:p>
    <w:p w:rsidR="003D01F5" w:rsidRDefault="003D01F5">
      <w:pPr>
        <w:pBdr>
          <w:top w:val="nil"/>
          <w:left w:val="nil"/>
          <w:bottom w:val="nil"/>
          <w:right w:val="nil"/>
          <w:between w:val="nil"/>
        </w:pBdr>
        <w:ind w:left="1080"/>
        <w:jc w:val="both"/>
        <w:rPr>
          <w:rFonts w:ascii="Arial" w:eastAsia="Arial" w:hAnsi="Arial" w:cs="Arial"/>
          <w:b/>
          <w:sz w:val="22"/>
          <w:szCs w:val="22"/>
        </w:rPr>
      </w:pPr>
    </w:p>
    <w:p w:rsidR="003D01F5" w:rsidRDefault="000D1D32">
      <w:pPr>
        <w:pBdr>
          <w:top w:val="nil"/>
          <w:left w:val="nil"/>
          <w:bottom w:val="nil"/>
          <w:right w:val="nil"/>
          <w:between w:val="nil"/>
        </w:pBdr>
        <w:ind w:firstLine="720"/>
        <w:jc w:val="both"/>
        <w:rPr>
          <w:rFonts w:ascii="Arial" w:eastAsia="Arial" w:hAnsi="Arial" w:cs="Arial"/>
          <w:b/>
          <w:sz w:val="22"/>
          <w:szCs w:val="22"/>
        </w:rPr>
      </w:pPr>
      <w:r>
        <w:rPr>
          <w:rFonts w:ascii="Arial" w:eastAsia="Arial" w:hAnsi="Arial" w:cs="Arial"/>
          <w:b/>
          <w:sz w:val="22"/>
          <w:szCs w:val="22"/>
        </w:rPr>
        <w:t xml:space="preserve">V.1.1 El salvador </w:t>
      </w:r>
    </w:p>
    <w:p w:rsidR="003D01F5" w:rsidRDefault="000D1D32">
      <w:pPr>
        <w:spacing w:before="240" w:after="240"/>
        <w:jc w:val="both"/>
        <w:rPr>
          <w:rFonts w:ascii="Arial" w:eastAsia="Arial" w:hAnsi="Arial" w:cs="Arial"/>
          <w:sz w:val="22"/>
          <w:szCs w:val="22"/>
        </w:rPr>
      </w:pPr>
      <w:r>
        <w:rPr>
          <w:rFonts w:ascii="Arial" w:eastAsia="Arial" w:hAnsi="Arial" w:cs="Arial"/>
          <w:sz w:val="22"/>
          <w:szCs w:val="22"/>
        </w:rPr>
        <w:t xml:space="preserve">En El Salvador, el principal marco legal que regula la protección de la niñez frente al reclutamiento forzado es la ley de Protección Integral de la Niñez y Adolescencia (LEPINA), promulgada en 2009. Esta normativa prohíbe de manera categórica la utilización de menores en conflictos armados y establece la obligación del Estado de prevenir, proteger y garantizar la reintegración de niños víctimas de violencia. A esta ley se suma la Ley Crecer Juntos una norma más reciente que fortalece la protección de la primera infancia y articula medidas interinstitucionales orientadas a garantizar entornos libres de violencia. Aunque el </w:t>
      </w:r>
      <w:r>
        <w:rPr>
          <w:rFonts w:ascii="Arial" w:eastAsia="Arial" w:hAnsi="Arial" w:cs="Arial"/>
          <w:sz w:val="22"/>
          <w:szCs w:val="22"/>
        </w:rPr>
        <w:lastRenderedPageBreak/>
        <w:t xml:space="preserve">país no vive un conflicto armado tradicional, la presencia estructural de pandillas (maras) ha configurado escenarios de violencia que afectan especialmente a adolescentes. Desde el inicio del régimen de excepción en 2022, se han reportado más de 3.000 menores detenidos y al menos 368 muertes en centros penitenciarios, lo que ha sido denunciado por organizaciones como Human </w:t>
      </w:r>
      <w:proofErr w:type="spellStart"/>
      <w:r>
        <w:rPr>
          <w:rFonts w:ascii="Arial" w:eastAsia="Arial" w:hAnsi="Arial" w:cs="Arial"/>
          <w:sz w:val="22"/>
          <w:szCs w:val="22"/>
        </w:rPr>
        <w:t>Rights</w:t>
      </w:r>
      <w:proofErr w:type="spellEnd"/>
      <w:r>
        <w:rPr>
          <w:rFonts w:ascii="Arial" w:eastAsia="Arial" w:hAnsi="Arial" w:cs="Arial"/>
          <w:sz w:val="22"/>
          <w:szCs w:val="22"/>
        </w:rPr>
        <w:t xml:space="preserve"> </w:t>
      </w:r>
      <w:proofErr w:type="spellStart"/>
      <w:r>
        <w:rPr>
          <w:rFonts w:ascii="Arial" w:eastAsia="Arial" w:hAnsi="Arial" w:cs="Arial"/>
          <w:sz w:val="22"/>
          <w:szCs w:val="22"/>
        </w:rPr>
        <w:t>Watch</w:t>
      </w:r>
      <w:proofErr w:type="spellEnd"/>
      <w:r>
        <w:rPr>
          <w:rFonts w:ascii="Arial" w:eastAsia="Arial" w:hAnsi="Arial" w:cs="Arial"/>
          <w:sz w:val="22"/>
          <w:szCs w:val="22"/>
        </w:rPr>
        <w:t xml:space="preserve"> como violaciones a estándares internacionales de protección infantil. Además, se ha evidenciado el traslado de adolescentes a cárceles de adultos, práctica que contraviene la Convención sobre los Derechos del Niño y sus protocolos facultativos. </w:t>
      </w:r>
    </w:p>
    <w:p w:rsidR="003D01F5" w:rsidRDefault="000D1D32">
      <w:pPr>
        <w:spacing w:before="240" w:after="240"/>
        <w:ind w:firstLine="720"/>
        <w:jc w:val="both"/>
        <w:rPr>
          <w:rFonts w:ascii="Arial" w:eastAsia="Arial" w:hAnsi="Arial" w:cs="Arial"/>
          <w:b/>
          <w:sz w:val="22"/>
          <w:szCs w:val="22"/>
        </w:rPr>
      </w:pPr>
      <w:r>
        <w:rPr>
          <w:rFonts w:ascii="Arial" w:eastAsia="Arial" w:hAnsi="Arial" w:cs="Arial"/>
          <w:b/>
          <w:sz w:val="22"/>
          <w:szCs w:val="22"/>
        </w:rPr>
        <w:t xml:space="preserve">V.1.2 </w:t>
      </w:r>
      <w:proofErr w:type="spellStart"/>
      <w:r>
        <w:rPr>
          <w:rFonts w:ascii="Arial" w:eastAsia="Arial" w:hAnsi="Arial" w:cs="Arial"/>
          <w:b/>
          <w:sz w:val="22"/>
          <w:szCs w:val="22"/>
        </w:rPr>
        <w:t>Peru</w:t>
      </w:r>
      <w:proofErr w:type="spellEnd"/>
      <w:r>
        <w:rPr>
          <w:rFonts w:ascii="Arial" w:eastAsia="Arial" w:hAnsi="Arial" w:cs="Arial"/>
          <w:b/>
          <w:sz w:val="22"/>
          <w:szCs w:val="22"/>
        </w:rPr>
        <w:t xml:space="preserve"> </w:t>
      </w:r>
    </w:p>
    <w:p w:rsidR="003D01F5" w:rsidRDefault="000D1D32">
      <w:pPr>
        <w:spacing w:before="240" w:after="240"/>
        <w:jc w:val="both"/>
        <w:rPr>
          <w:rFonts w:ascii="Arial" w:eastAsia="Arial" w:hAnsi="Arial" w:cs="Arial"/>
          <w:sz w:val="22"/>
          <w:szCs w:val="22"/>
        </w:rPr>
      </w:pPr>
      <w:r>
        <w:rPr>
          <w:rFonts w:ascii="Arial" w:eastAsia="Arial" w:hAnsi="Arial" w:cs="Arial"/>
          <w:sz w:val="22"/>
          <w:szCs w:val="22"/>
        </w:rPr>
        <w:t>En el caso de Perú, la Ley N.º 27337 (Código de los Niños y Adolescentes), promulgada en el año 2000, establece en su artículo 9 la obligación del Estado de tomar medidas específicas para impedir la participación de menores en hostilidades. A este marco se suma la ratificación del Protocolo Facultativo de la Convención sobre los Derechos del Niño relativo a la participación de niños en conflictos armados, y la implementación de planes sectoriales como el **Plan Nacional para la Prevención y Erradicación del Trabajo Infantil**, que incorpora medidas para abordar el reclutamiento en actividades ilícitas, incluyendo el narcotráfico. Este enfoque cobra especial relevancia en regiones como el VRAEM (Valle de los Ríos Apurímac, Ene y Mantaro), donde operan remanentes armados del conflicto interno peruano, actualmente asociados con economías ilícitas como el narcotráfico. En estas zonas, informes de entidades como el Ministerio Público y el Defensor del Pueblo han identificado riesgos sustanciales de vinculación de menores en actividades delictivas bajo coerción o manipulación. Aunque existen medidas legales, la implementación enfrenta limitaciones estructurales asociadas a la precariedad institucional, la debilidad del sistema de protección y la limitada presencia estatal en territorios de difícil acceso.</w:t>
      </w:r>
    </w:p>
    <w:p w:rsidR="003D01F5" w:rsidRDefault="000D1D32">
      <w:pPr>
        <w:spacing w:before="240" w:after="240"/>
        <w:jc w:val="both"/>
        <w:rPr>
          <w:rFonts w:ascii="Arial" w:eastAsia="Arial" w:hAnsi="Arial" w:cs="Arial"/>
          <w:b/>
          <w:sz w:val="22"/>
          <w:szCs w:val="22"/>
        </w:rPr>
      </w:pPr>
      <w:r>
        <w:rPr>
          <w:rFonts w:ascii="Arial" w:eastAsia="Arial" w:hAnsi="Arial" w:cs="Arial"/>
          <w:b/>
          <w:sz w:val="22"/>
          <w:szCs w:val="22"/>
        </w:rPr>
        <w:t>V.1.3. Guatemala</w:t>
      </w:r>
    </w:p>
    <w:p w:rsidR="003D01F5" w:rsidRDefault="000D1D32">
      <w:pPr>
        <w:spacing w:before="240" w:after="240"/>
        <w:jc w:val="both"/>
        <w:rPr>
          <w:rFonts w:ascii="Arial" w:eastAsia="Arial" w:hAnsi="Arial" w:cs="Arial"/>
          <w:sz w:val="22"/>
          <w:szCs w:val="22"/>
        </w:rPr>
      </w:pPr>
      <w:r>
        <w:rPr>
          <w:rFonts w:ascii="Arial" w:eastAsia="Arial" w:hAnsi="Arial" w:cs="Arial"/>
          <w:sz w:val="22"/>
          <w:szCs w:val="22"/>
        </w:rPr>
        <w:t xml:space="preserve">En Guatemala, el Decreto 27-2003, que establece la Ley de Protección Integral de la Niñez y Adolescencia, constituye la piedra angular normativa para la defensa de los derechos de niños, niñas y adolescentes. Esta ley reconoce explícitamente el reclutamiento forzado como una violación a los derechos humanos y consagra la obligación del Estado de implementar acciones de protección, restitución de derechos y garantías de no repetición. A pesar de que el conflicto armado interno concluyó oficialmente en 1996, el Estado ha reconocido a las víctimas menores de edad como sujetos de reparación, articulando políticas de memoria histórica y atención psicosocial, en gran parte con apoyo de la cooperación internacional. Complementariamente, la Política Pública de Protección Integral de la Niñez y Adolescencia (PPPINA) establece directrices intersectoriales para el abordaje integral de las violencias que afectan a los menores, incluyendo su vinculación forzada a grupos armados o criminales. No obstante, la implementación de estas políticas ha sido desigual, particularmente en zonas rurales e indígenas donde persiste la exclusión estructural y la impunidad. La persistencia de redes delictivas, pobreza extrema y desprotección institucional aumenta el riesgo de </w:t>
      </w:r>
      <w:proofErr w:type="spellStart"/>
      <w:r>
        <w:rPr>
          <w:rFonts w:ascii="Arial" w:eastAsia="Arial" w:hAnsi="Arial" w:cs="Arial"/>
          <w:sz w:val="22"/>
          <w:szCs w:val="22"/>
        </w:rPr>
        <w:t>revictimización</w:t>
      </w:r>
      <w:proofErr w:type="spellEnd"/>
      <w:r>
        <w:rPr>
          <w:rFonts w:ascii="Arial" w:eastAsia="Arial" w:hAnsi="Arial" w:cs="Arial"/>
          <w:sz w:val="22"/>
          <w:szCs w:val="22"/>
        </w:rPr>
        <w:t xml:space="preserve"> o nuevos escenarios de violencia.</w:t>
      </w:r>
    </w:p>
    <w:p w:rsidR="003D01F5" w:rsidRDefault="000D1D32">
      <w:pPr>
        <w:spacing w:before="240" w:after="240"/>
        <w:jc w:val="both"/>
        <w:rPr>
          <w:rFonts w:ascii="Arial" w:eastAsia="Arial" w:hAnsi="Arial" w:cs="Arial"/>
          <w:sz w:val="22"/>
          <w:szCs w:val="22"/>
        </w:rPr>
      </w:pPr>
      <w:r>
        <w:rPr>
          <w:rFonts w:ascii="Arial" w:eastAsia="Arial" w:hAnsi="Arial" w:cs="Arial"/>
          <w:sz w:val="22"/>
          <w:szCs w:val="22"/>
        </w:rPr>
        <w:lastRenderedPageBreak/>
        <w:t>En conjunto, los tres países comparten el reconocimiento jurídico del reclutamiento forzado como una grave vulneración de derechos, con normativas que prohíben esta práctica y que establecen compromisos internacionales ratificados. Sin embargo, la efectividad en la implementación varía considerablemente. El Salvador enfrenta un contexto marcado por la criminalización masiva de adolescentes en el marco de políticas de seguridad punitivas; Perú lucha con remanentes armados y economías ilegales en territorios donde la presencia del Estado es débil; Guatemala, pese a sus avances normativos, aún no logra consolidar una política efectiva de protección en áreas posconflicto. Este panorama exige el fortalecimiento de las garantías institucionales, la inversión en sistemas de protección, y la articulación de acciones comunitarias e internacionales que respondan de forma efectiva a los nuevos rostros del reclutamiento forzado en el siglo XXI.</w:t>
      </w:r>
    </w:p>
    <w:p w:rsidR="003D01F5" w:rsidRDefault="000D1D32">
      <w:pPr>
        <w:numPr>
          <w:ilvl w:val="0"/>
          <w:numId w:val="4"/>
        </w:numPr>
        <w:pBdr>
          <w:top w:val="none" w:sz="0" w:space="0" w:color="000000"/>
          <w:left w:val="none" w:sz="0" w:space="0" w:color="000000"/>
          <w:bottom w:val="none" w:sz="0" w:space="0" w:color="000000"/>
          <w:right w:val="none" w:sz="0" w:space="0" w:color="000000"/>
          <w:between w:val="none" w:sz="0" w:space="0" w:color="000000"/>
        </w:pBdr>
        <w:spacing w:after="160"/>
        <w:jc w:val="both"/>
        <w:rPr>
          <w:rFonts w:ascii="Arial" w:eastAsia="Arial" w:hAnsi="Arial" w:cs="Arial"/>
          <w:b/>
          <w:color w:val="000000"/>
          <w:sz w:val="22"/>
          <w:szCs w:val="22"/>
        </w:rPr>
      </w:pPr>
      <w:r>
        <w:rPr>
          <w:rFonts w:ascii="Arial" w:eastAsia="Arial" w:hAnsi="Arial" w:cs="Arial"/>
          <w:b/>
          <w:color w:val="000000"/>
          <w:sz w:val="22"/>
          <w:szCs w:val="22"/>
        </w:rPr>
        <w:t>CONSIDERACIONES FINALES</w:t>
      </w:r>
    </w:p>
    <w:p w:rsidR="003D01F5" w:rsidRDefault="000D1D32">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sz w:val="22"/>
          <w:szCs w:val="22"/>
        </w:rPr>
      </w:pPr>
      <w:r>
        <w:rPr>
          <w:rFonts w:ascii="Arial" w:eastAsia="Arial" w:hAnsi="Arial" w:cs="Arial"/>
          <w:sz w:val="22"/>
          <w:szCs w:val="22"/>
        </w:rPr>
        <w:t>En el marco del conflicto armado interno colombiano, los niños, niñas, adolescentes y jóvenes (NNAJ) han sido víctimas de múltiples formas de violencia, siendo el reclutamiento, uso, utilización y violencia sexua</w:t>
      </w:r>
      <w:r>
        <w:rPr>
          <w:rFonts w:ascii="Arial" w:eastAsia="Arial" w:hAnsi="Arial" w:cs="Arial"/>
          <w:b/>
          <w:sz w:val="22"/>
          <w:szCs w:val="22"/>
        </w:rPr>
        <w:t>l</w:t>
      </w:r>
      <w:r>
        <w:rPr>
          <w:rFonts w:ascii="Arial" w:eastAsia="Arial" w:hAnsi="Arial" w:cs="Arial"/>
          <w:sz w:val="22"/>
          <w:szCs w:val="22"/>
        </w:rPr>
        <w:t xml:space="preserve"> por parte de grupos armados ilegales una de las más graves y persistentes. Esta práctica ha vulnerado de manera sistemática los derechos fundamentales de los NNAJ, impactando no solo sus trayectorias individuales, sino también el tejido social de comunidades enteras.</w:t>
      </w:r>
    </w:p>
    <w:p w:rsidR="003D01F5" w:rsidRDefault="003D01F5">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sz w:val="22"/>
          <w:szCs w:val="22"/>
        </w:rPr>
      </w:pPr>
    </w:p>
    <w:p w:rsidR="003D01F5" w:rsidRDefault="000D1D32">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sz w:val="22"/>
          <w:szCs w:val="22"/>
        </w:rPr>
      </w:pPr>
      <w:r>
        <w:rPr>
          <w:rFonts w:ascii="Arial" w:eastAsia="Arial" w:hAnsi="Arial" w:cs="Arial"/>
          <w:sz w:val="22"/>
          <w:szCs w:val="22"/>
        </w:rPr>
        <w:t xml:space="preserve">En este contexto, el informe </w:t>
      </w:r>
      <w:r>
        <w:rPr>
          <w:rFonts w:ascii="Arial" w:eastAsia="Arial" w:hAnsi="Arial" w:cs="Arial"/>
          <w:i/>
          <w:sz w:val="22"/>
          <w:szCs w:val="22"/>
        </w:rPr>
        <w:t>“Una guerra sin edad”</w:t>
      </w:r>
      <w:r>
        <w:rPr>
          <w:rFonts w:ascii="Arial" w:eastAsia="Arial" w:hAnsi="Arial" w:cs="Arial"/>
          <w:sz w:val="22"/>
          <w:szCs w:val="22"/>
        </w:rPr>
        <w:t>, publicado por el Centro Nacional de Memoria Histórica en 2017, documenta de manera exhaustiva las lógicas, dinámicas y consecuencias del reclutamiento y utilización de niños, niñas y adolescentes en el conflicto armado colombiano, evidenciando que esta práctica ha sido sistemática, histórica y adaptativa a los contextos territoriales, incluso en tiempos de pos acuerdo. El informe establece que el reclutamiento no solo fue ejecutado por grupos armados ilegales, sino también facilitado por condiciones estructurales de exclusión social, falta de presencia institucional, debilidad de las redes de protección y rupturas del tejido comunitario, lo cual continúa representando un riesgo latente para la niñez en distintas zonas del país, incluidas áreas urbanas. En consecuencia, se hace necesario que las entidades territoriales, en especial aquellas con dinámicas complejas de violencia urbana como Bogotá, adopten políticas integrales, intersectoriales y sostenidas de prevención, protección y reparación simbólica, con enfoque diferencial y territorial, dirigidas a niños, niñas y adolescentes en riesgo de ser vinculados a estructuras armadas o delictivas.</w:t>
      </w:r>
    </w:p>
    <w:p w:rsidR="003D01F5" w:rsidRDefault="003D01F5">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sz w:val="22"/>
          <w:szCs w:val="22"/>
        </w:rPr>
      </w:pPr>
    </w:p>
    <w:p w:rsidR="003D01F5" w:rsidRDefault="000D1D32">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sz w:val="22"/>
          <w:szCs w:val="22"/>
        </w:rPr>
      </w:pPr>
      <w:r>
        <w:rPr>
          <w:rFonts w:ascii="Arial" w:eastAsia="Arial" w:hAnsi="Arial" w:cs="Arial"/>
          <w:sz w:val="22"/>
          <w:szCs w:val="22"/>
        </w:rPr>
        <w:t>En este mismo informe se mencionan acciones que debe llevar a cabo el estado para prevenir, atender y reparar el reclutamiento y la utilización de niños, niñas y adolescentes. Entre estos se encuentran:</w:t>
      </w:r>
    </w:p>
    <w:p w:rsidR="003D01F5" w:rsidRDefault="003D01F5">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sz w:val="22"/>
          <w:szCs w:val="22"/>
        </w:rPr>
      </w:pPr>
    </w:p>
    <w:p w:rsidR="003D01F5" w:rsidRDefault="000D1D32">
      <w:pPr>
        <w:numPr>
          <w:ilvl w:val="0"/>
          <w:numId w:val="5"/>
        </w:num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sz w:val="22"/>
          <w:szCs w:val="22"/>
        </w:rPr>
      </w:pPr>
      <w:r>
        <w:rPr>
          <w:rFonts w:ascii="Arial" w:eastAsia="Arial" w:hAnsi="Arial" w:cs="Arial"/>
          <w:sz w:val="22"/>
          <w:szCs w:val="22"/>
        </w:rPr>
        <w:t xml:space="preserve">Prevención territorial y comunitaria del </w:t>
      </w:r>
      <w:proofErr w:type="spellStart"/>
      <w:proofErr w:type="gramStart"/>
      <w:r>
        <w:rPr>
          <w:rFonts w:ascii="Arial" w:eastAsia="Arial" w:hAnsi="Arial" w:cs="Arial"/>
          <w:sz w:val="22"/>
          <w:szCs w:val="22"/>
        </w:rPr>
        <w:t>reclutamiento:El</w:t>
      </w:r>
      <w:proofErr w:type="spellEnd"/>
      <w:proofErr w:type="gramEnd"/>
      <w:r>
        <w:rPr>
          <w:rFonts w:ascii="Arial" w:eastAsia="Arial" w:hAnsi="Arial" w:cs="Arial"/>
          <w:sz w:val="22"/>
          <w:szCs w:val="22"/>
        </w:rPr>
        <w:t xml:space="preserve"> Estado debe implementar acciones tempranas y situadas en zonas de riesgo, que reconozcan las dinámicas locales y los factores que facilitan el reclutamiento: pobreza, exclusión educativa, violencia intrafamiliar, presencia de actores armados o bandas locales. Esto incluye: programas educativos con enfoque de paz y derechos </w:t>
      </w:r>
      <w:proofErr w:type="spellStart"/>
      <w:proofErr w:type="gramStart"/>
      <w:r>
        <w:rPr>
          <w:rFonts w:ascii="Arial" w:eastAsia="Arial" w:hAnsi="Arial" w:cs="Arial"/>
          <w:sz w:val="22"/>
          <w:szCs w:val="22"/>
        </w:rPr>
        <w:t>humanos,fortalecimiento</w:t>
      </w:r>
      <w:proofErr w:type="spellEnd"/>
      <w:proofErr w:type="gramEnd"/>
      <w:r>
        <w:rPr>
          <w:rFonts w:ascii="Arial" w:eastAsia="Arial" w:hAnsi="Arial" w:cs="Arial"/>
          <w:sz w:val="22"/>
          <w:szCs w:val="22"/>
        </w:rPr>
        <w:t xml:space="preserve"> de </w:t>
      </w:r>
      <w:r>
        <w:rPr>
          <w:rFonts w:ascii="Arial" w:eastAsia="Arial" w:hAnsi="Arial" w:cs="Arial"/>
          <w:sz w:val="22"/>
          <w:szCs w:val="22"/>
        </w:rPr>
        <w:lastRenderedPageBreak/>
        <w:t>redes comunitarias de protección y espacios seguros de participación juvenil en barrios vulnerables.</w:t>
      </w:r>
    </w:p>
    <w:p w:rsidR="003D01F5" w:rsidRDefault="000D1D32">
      <w:pPr>
        <w:numPr>
          <w:ilvl w:val="0"/>
          <w:numId w:val="5"/>
        </w:num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sz w:val="22"/>
          <w:szCs w:val="22"/>
        </w:rPr>
      </w:pPr>
      <w:r>
        <w:rPr>
          <w:rFonts w:ascii="Arial" w:eastAsia="Arial" w:hAnsi="Arial" w:cs="Arial"/>
          <w:sz w:val="22"/>
          <w:szCs w:val="22"/>
        </w:rPr>
        <w:t xml:space="preserve">Fortalecimiento de rutas institucionales de protección: Se requiere garantizar el funcionamiento eficaz de rutas de atención integrales, en articulación con el ICBF, defensorías de familia, comisarías, instituciones educativas y policía de infancia. Estas rutas deben: activarse ante riesgos inminentes de reclutamiento o </w:t>
      </w:r>
      <w:proofErr w:type="spellStart"/>
      <w:proofErr w:type="gramStart"/>
      <w:r>
        <w:rPr>
          <w:rFonts w:ascii="Arial" w:eastAsia="Arial" w:hAnsi="Arial" w:cs="Arial"/>
          <w:sz w:val="22"/>
          <w:szCs w:val="22"/>
        </w:rPr>
        <w:t>instrumentalización,incluir</w:t>
      </w:r>
      <w:proofErr w:type="spellEnd"/>
      <w:proofErr w:type="gramEnd"/>
      <w:r>
        <w:rPr>
          <w:rFonts w:ascii="Arial" w:eastAsia="Arial" w:hAnsi="Arial" w:cs="Arial"/>
          <w:sz w:val="22"/>
          <w:szCs w:val="22"/>
        </w:rPr>
        <w:t xml:space="preserve"> acompañamiento psicosocial especializado y facilitar la restitución de derechos desde un enfoque restaurativo.</w:t>
      </w:r>
    </w:p>
    <w:p w:rsidR="003D01F5" w:rsidRDefault="000D1D32">
      <w:pPr>
        <w:numPr>
          <w:ilvl w:val="0"/>
          <w:numId w:val="5"/>
        </w:num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sz w:val="22"/>
          <w:szCs w:val="22"/>
        </w:rPr>
      </w:pPr>
      <w:r>
        <w:rPr>
          <w:rFonts w:ascii="Arial" w:eastAsia="Arial" w:hAnsi="Arial" w:cs="Arial"/>
          <w:sz w:val="22"/>
          <w:szCs w:val="22"/>
        </w:rPr>
        <w:t>Reconocimiento y reparación integral a las víctimas:  El informe subraya la necesidad de superar una visión asistencialista. El Estado debe: Reconocer a niños, niñas y adolescentes reclutados como víctimas de graves violaciones de derechos humanos, promover acciones de reparación simbólica en los territorios (murales, actos conmemorativos, memoria viva) y vincular a las víctimas a procesos comunitarios de construcción de paz.</w:t>
      </w:r>
    </w:p>
    <w:p w:rsidR="003D01F5" w:rsidRDefault="000D1D32">
      <w:pPr>
        <w:numPr>
          <w:ilvl w:val="0"/>
          <w:numId w:val="5"/>
        </w:num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sz w:val="22"/>
          <w:szCs w:val="22"/>
        </w:rPr>
      </w:pPr>
      <w:r>
        <w:rPr>
          <w:rFonts w:ascii="Arial" w:eastAsia="Arial" w:hAnsi="Arial" w:cs="Arial"/>
          <w:sz w:val="22"/>
          <w:szCs w:val="22"/>
        </w:rPr>
        <w:t xml:space="preserve">Participación juvenil en la formulación de políticas públicas:  El Estado debe generar mecanismos efectivos para que los adolescentes y </w:t>
      </w:r>
      <w:proofErr w:type="spellStart"/>
      <w:proofErr w:type="gramStart"/>
      <w:r>
        <w:rPr>
          <w:rFonts w:ascii="Arial" w:eastAsia="Arial" w:hAnsi="Arial" w:cs="Arial"/>
          <w:sz w:val="22"/>
          <w:szCs w:val="22"/>
        </w:rPr>
        <w:t>jóvenes:sean</w:t>
      </w:r>
      <w:proofErr w:type="spellEnd"/>
      <w:proofErr w:type="gramEnd"/>
      <w:r>
        <w:rPr>
          <w:rFonts w:ascii="Arial" w:eastAsia="Arial" w:hAnsi="Arial" w:cs="Arial"/>
          <w:sz w:val="22"/>
          <w:szCs w:val="22"/>
        </w:rPr>
        <w:t xml:space="preserve"> actores clave en la definición de estrategias de prevención del reclutamiento, participen en observatorios locales de niñez, seguridad y paz y desarrollen liderazgos juveniles que fortalezcan sus redes de apoyo.</w:t>
      </w:r>
    </w:p>
    <w:p w:rsidR="003D01F5" w:rsidRDefault="000D1D32">
      <w:pPr>
        <w:numPr>
          <w:ilvl w:val="0"/>
          <w:numId w:val="5"/>
        </w:num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sz w:val="22"/>
          <w:szCs w:val="22"/>
        </w:rPr>
      </w:pPr>
      <w:r>
        <w:rPr>
          <w:rFonts w:ascii="Arial" w:eastAsia="Arial" w:hAnsi="Arial" w:cs="Arial"/>
          <w:sz w:val="22"/>
          <w:szCs w:val="22"/>
        </w:rPr>
        <w:t xml:space="preserve">Generación de conocimiento, monitoreo y alertas tempranas:  El informe insiste en la necesidad de contar con datos confiables. El Estado </w:t>
      </w:r>
      <w:proofErr w:type="spellStart"/>
      <w:proofErr w:type="gramStart"/>
      <w:r>
        <w:rPr>
          <w:rFonts w:ascii="Arial" w:eastAsia="Arial" w:hAnsi="Arial" w:cs="Arial"/>
          <w:sz w:val="22"/>
          <w:szCs w:val="22"/>
        </w:rPr>
        <w:t>debe:Crear</w:t>
      </w:r>
      <w:proofErr w:type="spellEnd"/>
      <w:proofErr w:type="gramEnd"/>
      <w:r>
        <w:rPr>
          <w:rFonts w:ascii="Arial" w:eastAsia="Arial" w:hAnsi="Arial" w:cs="Arial"/>
          <w:sz w:val="22"/>
          <w:szCs w:val="22"/>
        </w:rPr>
        <w:t xml:space="preserve"> o fortalecer observatorios territoriales de reclutamiento con enfoque diferencial (género, étnico, territorial),establecer sistemas de alerta temprana a nivel distrital y local que permitan actuar preventivamente ante factores de riesgo.</w:t>
      </w:r>
    </w:p>
    <w:p w:rsidR="003D01F5" w:rsidRDefault="000D1D32">
      <w:pPr>
        <w:numPr>
          <w:ilvl w:val="0"/>
          <w:numId w:val="5"/>
        </w:num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sz w:val="22"/>
          <w:szCs w:val="22"/>
        </w:rPr>
      </w:pPr>
      <w:r>
        <w:rPr>
          <w:rFonts w:ascii="Arial" w:eastAsia="Arial" w:hAnsi="Arial" w:cs="Arial"/>
          <w:sz w:val="22"/>
          <w:szCs w:val="22"/>
        </w:rPr>
        <w:t xml:space="preserve">Intervenciones con enfoque diferencial: Toda política debe considerar las condiciones particulares de los niños, niñas y adolescentes reconociendo su identidad étnica, de género y </w:t>
      </w:r>
      <w:proofErr w:type="spellStart"/>
      <w:proofErr w:type="gramStart"/>
      <w:r>
        <w:rPr>
          <w:rFonts w:ascii="Arial" w:eastAsia="Arial" w:hAnsi="Arial" w:cs="Arial"/>
          <w:sz w:val="22"/>
          <w:szCs w:val="22"/>
        </w:rPr>
        <w:t>territorial,adaptando</w:t>
      </w:r>
      <w:proofErr w:type="spellEnd"/>
      <w:proofErr w:type="gramEnd"/>
      <w:r>
        <w:rPr>
          <w:rFonts w:ascii="Arial" w:eastAsia="Arial" w:hAnsi="Arial" w:cs="Arial"/>
          <w:sz w:val="22"/>
          <w:szCs w:val="22"/>
        </w:rPr>
        <w:t xml:space="preserve"> las medidas a contextos urbanos, rurales y de frontera e incorporando enfoques </w:t>
      </w:r>
      <w:proofErr w:type="spellStart"/>
      <w:r>
        <w:rPr>
          <w:rFonts w:ascii="Arial" w:eastAsia="Arial" w:hAnsi="Arial" w:cs="Arial"/>
          <w:sz w:val="22"/>
          <w:szCs w:val="22"/>
        </w:rPr>
        <w:t>interseccionales</w:t>
      </w:r>
      <w:proofErr w:type="spellEnd"/>
      <w:r>
        <w:rPr>
          <w:rFonts w:ascii="Arial" w:eastAsia="Arial" w:hAnsi="Arial" w:cs="Arial"/>
          <w:sz w:val="22"/>
          <w:szCs w:val="22"/>
        </w:rPr>
        <w:t xml:space="preserve"> para atender múltiples vulnerabilidades. (Centro Nacional de Memoria Histórica [CNMH], 2017)</w:t>
      </w:r>
    </w:p>
    <w:p w:rsidR="003D01F5" w:rsidRDefault="003D01F5">
      <w:pPr>
        <w:pBdr>
          <w:top w:val="none" w:sz="0" w:space="0" w:color="000000"/>
          <w:left w:val="none" w:sz="0" w:space="0" w:color="000000"/>
          <w:bottom w:val="none" w:sz="0" w:space="0" w:color="000000"/>
          <w:right w:val="none" w:sz="0" w:space="0" w:color="000000"/>
          <w:between w:val="none" w:sz="0" w:space="0" w:color="000000"/>
        </w:pBdr>
        <w:ind w:left="720"/>
        <w:jc w:val="both"/>
        <w:rPr>
          <w:rFonts w:ascii="Arial" w:eastAsia="Arial" w:hAnsi="Arial" w:cs="Arial"/>
          <w:sz w:val="22"/>
          <w:szCs w:val="22"/>
        </w:rPr>
      </w:pPr>
    </w:p>
    <w:p w:rsidR="003D01F5" w:rsidRDefault="000D1D32">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sz w:val="22"/>
          <w:szCs w:val="22"/>
        </w:rPr>
      </w:pPr>
      <w:r>
        <w:rPr>
          <w:rFonts w:ascii="Arial" w:eastAsia="Arial" w:hAnsi="Arial" w:cs="Arial"/>
          <w:sz w:val="22"/>
          <w:szCs w:val="22"/>
        </w:rPr>
        <w:t>En este sentido, se debe resaltar la importancia de crear respuestas institucionales integrales frente a una de las violaciones más graves y persistentes de los derechos humanos de la infancia y la juventud en el país.</w:t>
      </w:r>
    </w:p>
    <w:p w:rsidR="003D01F5" w:rsidRDefault="003D01F5">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sz w:val="22"/>
          <w:szCs w:val="22"/>
        </w:rPr>
      </w:pPr>
    </w:p>
    <w:p w:rsidR="003D01F5" w:rsidRDefault="000D1D32">
      <w:pPr>
        <w:jc w:val="both"/>
        <w:rPr>
          <w:rFonts w:ascii="Arial" w:eastAsia="Arial" w:hAnsi="Arial" w:cs="Arial"/>
          <w:b/>
          <w:sz w:val="22"/>
          <w:szCs w:val="22"/>
        </w:rPr>
      </w:pPr>
      <w:r>
        <w:rPr>
          <w:rFonts w:ascii="Arial" w:eastAsia="Arial" w:hAnsi="Arial" w:cs="Arial"/>
          <w:b/>
          <w:sz w:val="22"/>
          <w:szCs w:val="22"/>
        </w:rPr>
        <w:t>VII. COMPETENCIA DEL CONCEJO DE BOGOTÁ</w:t>
      </w:r>
    </w:p>
    <w:p w:rsidR="003D01F5" w:rsidRDefault="003D01F5">
      <w:pPr>
        <w:jc w:val="both"/>
        <w:rPr>
          <w:rFonts w:ascii="Arial" w:eastAsia="Arial" w:hAnsi="Arial" w:cs="Arial"/>
          <w:b/>
          <w:sz w:val="22"/>
          <w:szCs w:val="22"/>
        </w:rPr>
      </w:pPr>
    </w:p>
    <w:p w:rsidR="003D01F5" w:rsidRDefault="000D1D32">
      <w:pPr>
        <w:jc w:val="both"/>
        <w:rPr>
          <w:rFonts w:ascii="Arial" w:eastAsia="Arial" w:hAnsi="Arial" w:cs="Arial"/>
          <w:sz w:val="22"/>
          <w:szCs w:val="22"/>
        </w:rPr>
      </w:pPr>
      <w:r>
        <w:rPr>
          <w:rFonts w:ascii="Arial" w:eastAsia="Arial" w:hAnsi="Arial" w:cs="Arial"/>
          <w:sz w:val="22"/>
          <w:szCs w:val="22"/>
        </w:rPr>
        <w:t xml:space="preserve">De conformidad con el numeral 1 del artículo 12 del Decreto 1421 de 1993, corresponde al Concejo de </w:t>
      </w:r>
      <w:proofErr w:type="gramStart"/>
      <w:r>
        <w:rPr>
          <w:rFonts w:ascii="Arial" w:eastAsia="Arial" w:hAnsi="Arial" w:cs="Arial"/>
          <w:sz w:val="22"/>
          <w:szCs w:val="22"/>
        </w:rPr>
        <w:t>Bogotá:</w:t>
      </w:r>
      <w:r>
        <w:rPr>
          <w:rFonts w:ascii="Arial" w:eastAsia="Arial" w:hAnsi="Arial" w:cs="Arial"/>
          <w:i/>
          <w:sz w:val="22"/>
          <w:szCs w:val="22"/>
        </w:rPr>
        <w:t>“</w:t>
      </w:r>
      <w:proofErr w:type="gramEnd"/>
      <w:r>
        <w:rPr>
          <w:rFonts w:ascii="Arial" w:eastAsia="Arial" w:hAnsi="Arial" w:cs="Arial"/>
          <w:i/>
          <w:sz w:val="22"/>
          <w:szCs w:val="22"/>
        </w:rPr>
        <w:t>1. Dictar las normas necesarias para garantizar el adecuado cumplimiento de las funciones y la eficiente prestación de los servicios a cargo del Distrito.”</w:t>
      </w:r>
      <w:r>
        <w:rPr>
          <w:rFonts w:ascii="Arial" w:eastAsia="Arial" w:hAnsi="Arial" w:cs="Arial"/>
          <w:sz w:val="22"/>
          <w:szCs w:val="22"/>
        </w:rPr>
        <w:t>. Por lo que el Concejo de Bogotá es competente para discutir y aprobar el presente</w:t>
      </w:r>
    </w:p>
    <w:p w:rsidR="003D01F5" w:rsidRDefault="000D1D32">
      <w:pPr>
        <w:jc w:val="both"/>
        <w:rPr>
          <w:rFonts w:ascii="Arial" w:eastAsia="Arial" w:hAnsi="Arial" w:cs="Arial"/>
          <w:sz w:val="22"/>
          <w:szCs w:val="22"/>
        </w:rPr>
      </w:pPr>
      <w:r>
        <w:rPr>
          <w:rFonts w:ascii="Arial" w:eastAsia="Arial" w:hAnsi="Arial" w:cs="Arial"/>
          <w:sz w:val="22"/>
          <w:szCs w:val="22"/>
        </w:rPr>
        <w:t>proyecto de acuerdo.</w:t>
      </w:r>
    </w:p>
    <w:p w:rsidR="003D01F5" w:rsidRDefault="003D01F5">
      <w:pPr>
        <w:jc w:val="both"/>
        <w:rPr>
          <w:rFonts w:ascii="Arial" w:eastAsia="Arial" w:hAnsi="Arial" w:cs="Arial"/>
          <w:b/>
          <w:sz w:val="22"/>
          <w:szCs w:val="22"/>
        </w:rPr>
      </w:pPr>
    </w:p>
    <w:p w:rsidR="003D01F5" w:rsidRDefault="000D1D32">
      <w:pPr>
        <w:jc w:val="both"/>
        <w:rPr>
          <w:rFonts w:ascii="Arial" w:eastAsia="Arial" w:hAnsi="Arial" w:cs="Arial"/>
          <w:b/>
          <w:sz w:val="22"/>
          <w:szCs w:val="22"/>
        </w:rPr>
      </w:pPr>
      <w:r>
        <w:rPr>
          <w:rFonts w:ascii="Arial" w:eastAsia="Arial" w:hAnsi="Arial" w:cs="Arial"/>
          <w:b/>
          <w:sz w:val="22"/>
          <w:szCs w:val="22"/>
        </w:rPr>
        <w:t>VIII. IMPACTO FISCAL</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sz w:val="22"/>
          <w:szCs w:val="22"/>
        </w:rPr>
        <w:t>De conformidad con el artículo 7 de la Ley 819 de 2003:</w:t>
      </w:r>
    </w:p>
    <w:p w:rsidR="003D01F5" w:rsidRDefault="003D01F5">
      <w:pPr>
        <w:jc w:val="both"/>
        <w:rPr>
          <w:rFonts w:ascii="Arial" w:eastAsia="Arial" w:hAnsi="Arial" w:cs="Arial"/>
          <w:sz w:val="22"/>
          <w:szCs w:val="22"/>
        </w:rPr>
      </w:pPr>
    </w:p>
    <w:p w:rsidR="003D01F5" w:rsidRDefault="000D1D32">
      <w:pPr>
        <w:ind w:left="567"/>
        <w:jc w:val="both"/>
        <w:rPr>
          <w:rFonts w:ascii="Arial" w:eastAsia="Arial" w:hAnsi="Arial" w:cs="Arial"/>
          <w:i/>
          <w:sz w:val="22"/>
          <w:szCs w:val="22"/>
        </w:rPr>
      </w:pPr>
      <w:r>
        <w:rPr>
          <w:rFonts w:ascii="Arial" w:eastAsia="Arial" w:hAnsi="Arial" w:cs="Arial"/>
          <w:i/>
          <w:sz w:val="22"/>
          <w:szCs w:val="22"/>
        </w:rPr>
        <w:lastRenderedPageBreak/>
        <w:t>“En todo momento, el impacto fiscal de cualquier proyecto de ley, ordenanza o acuerdo, que ordene gasto o que otorgue beneficios tributarios, deberá hacerse explícito y deberá ser compatible con el Marco Fiscal de Mediano Plazo. Para estos propósitos, deberá incluirse expresamente en la exposición de motivos y en las ponencias de trámite respectivas los costos fiscales de la iniciativa y la fuente de ingreso adicional generada para el financiamiento de dicho costo”.</w:t>
      </w:r>
    </w:p>
    <w:p w:rsidR="003D01F5" w:rsidRDefault="003D01F5">
      <w:pPr>
        <w:ind w:left="567"/>
        <w:jc w:val="both"/>
        <w:rPr>
          <w:rFonts w:ascii="Arial" w:eastAsia="Arial" w:hAnsi="Arial" w:cs="Arial"/>
          <w:i/>
          <w:sz w:val="22"/>
          <w:szCs w:val="22"/>
        </w:rPr>
      </w:pPr>
    </w:p>
    <w:p w:rsidR="003D01F5" w:rsidRDefault="000D1D32">
      <w:pPr>
        <w:jc w:val="both"/>
        <w:rPr>
          <w:rFonts w:ascii="Arial" w:eastAsia="Arial" w:hAnsi="Arial" w:cs="Arial"/>
          <w:sz w:val="22"/>
          <w:szCs w:val="22"/>
        </w:rPr>
      </w:pPr>
      <w:r>
        <w:rPr>
          <w:rFonts w:ascii="Arial" w:eastAsia="Arial" w:hAnsi="Arial" w:cs="Arial"/>
          <w:sz w:val="22"/>
          <w:szCs w:val="22"/>
        </w:rPr>
        <w:t>En atención a lo anterior y de acuerdo con la información presentada por parte de los autores de la iniciativa, el Proyecto de Acuerdo 464 de 2025, no genera impacto fiscal puesto que en el Plan de Desarrollo Distrital “Bogotá camina segura”, el programa 17” “</w:t>
      </w:r>
      <w:r>
        <w:rPr>
          <w:rFonts w:ascii="Arial" w:eastAsia="Arial" w:hAnsi="Arial" w:cs="Arial"/>
          <w:color w:val="333333"/>
          <w:sz w:val="22"/>
          <w:szCs w:val="22"/>
          <w:highlight w:val="white"/>
        </w:rPr>
        <w:t xml:space="preserve">Formación para el trabajo y acceso a oportunidades educativas.” se centra en </w:t>
      </w:r>
      <w:r>
        <w:rPr>
          <w:rFonts w:ascii="Arial" w:eastAsia="Arial" w:hAnsi="Arial" w:cs="Arial"/>
          <w:sz w:val="22"/>
          <w:szCs w:val="22"/>
        </w:rPr>
        <w:t xml:space="preserve">“atención a jóvenes con oportunidades de inclusión social y productiva brindando espacios para desarrollar su potencial; en especial procesos paralelos de orientación psicosociales e inteligencia emocional para la prevención de la deserción educativa y el desempleo, además de acciones para protegerlos de todos los riesgos a los que están expuestos como la violencia, el reclutamiento, la vinculación a bandas delictivas y los riesgos de salud física y mental, el consumo problemático de drogas, y la maternidad y paternidad tempranas, entre otros.” </w:t>
      </w:r>
    </w:p>
    <w:p w:rsidR="003D01F5" w:rsidRDefault="003D01F5">
      <w:pPr>
        <w:jc w:val="both"/>
        <w:rPr>
          <w:rFonts w:ascii="Arial" w:eastAsia="Arial" w:hAnsi="Arial" w:cs="Arial"/>
          <w:sz w:val="22"/>
          <w:szCs w:val="22"/>
        </w:rPr>
      </w:pP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b/>
          <w:sz w:val="22"/>
          <w:szCs w:val="22"/>
        </w:rPr>
        <w:t>IX. CONCLUSIÓN</w:t>
      </w:r>
    </w:p>
    <w:p w:rsidR="003D01F5" w:rsidRDefault="003D01F5">
      <w:pPr>
        <w:jc w:val="both"/>
        <w:rPr>
          <w:rFonts w:ascii="Arial" w:eastAsia="Arial" w:hAnsi="Arial" w:cs="Arial"/>
          <w:b/>
          <w:sz w:val="22"/>
          <w:szCs w:val="22"/>
        </w:rPr>
      </w:pPr>
    </w:p>
    <w:p w:rsidR="003D01F5" w:rsidRDefault="000D1D32">
      <w:pPr>
        <w:jc w:val="both"/>
        <w:rPr>
          <w:rFonts w:ascii="Arial" w:eastAsia="Arial" w:hAnsi="Arial" w:cs="Arial"/>
          <w:b/>
          <w:sz w:val="22"/>
          <w:szCs w:val="22"/>
        </w:rPr>
      </w:pPr>
      <w:r>
        <w:rPr>
          <w:rFonts w:ascii="Arial" w:eastAsia="Arial" w:hAnsi="Arial" w:cs="Arial"/>
          <w:sz w:val="22"/>
          <w:szCs w:val="22"/>
        </w:rPr>
        <w:t xml:space="preserve">De acuerdo con las consideraciones establecidas anteriormente, me permito rendir </w:t>
      </w:r>
      <w:r>
        <w:rPr>
          <w:rFonts w:ascii="Arial" w:eastAsia="Arial" w:hAnsi="Arial" w:cs="Arial"/>
          <w:b/>
          <w:sz w:val="22"/>
          <w:szCs w:val="22"/>
        </w:rPr>
        <w:t>PONENCIA POSITIVA CON MODIFICACIONES</w:t>
      </w:r>
      <w:r>
        <w:rPr>
          <w:rFonts w:ascii="Arial" w:eastAsia="Arial" w:hAnsi="Arial" w:cs="Arial"/>
          <w:sz w:val="22"/>
          <w:szCs w:val="22"/>
        </w:rPr>
        <w:t xml:space="preserve">, al proyecto de acuerdo 464 de 2025 </w:t>
      </w:r>
      <w:r>
        <w:rPr>
          <w:rFonts w:ascii="Arial" w:eastAsia="Arial" w:hAnsi="Arial" w:cs="Arial"/>
          <w:b/>
          <w:sz w:val="22"/>
          <w:szCs w:val="22"/>
        </w:rPr>
        <w:t>“POR MEDIO DEL CUAL SE ESTABLECEN LINEAMIENTOS PARA LA PREVENCIÓN DEL RECLUTAMIENTO, UTILIZACIÓN, USÓ, VIOLENCIA Y EXPLOTACIÓN SEXUAL EN CONTRA DE NIÑOS, NIÑAS, ADOLESCENTES Y JÓVENES (NNAJ) POR PARTE DE GRUPOS ARMADOS ORGANIZADOS (GAO) Y GRUPOS DELICTIVOS ORGANIZADOS (GDO) EN EL DISTRITO CAPITAL”</w:t>
      </w:r>
    </w:p>
    <w:p w:rsidR="003D01F5" w:rsidRDefault="003D01F5">
      <w:pPr>
        <w:jc w:val="both"/>
        <w:rPr>
          <w:rFonts w:ascii="Arial" w:eastAsia="Arial" w:hAnsi="Arial" w:cs="Arial"/>
          <w:b/>
          <w:sz w:val="22"/>
          <w:szCs w:val="22"/>
        </w:rPr>
      </w:pPr>
    </w:p>
    <w:p w:rsidR="003D01F5" w:rsidRDefault="000D1D32">
      <w:pPr>
        <w:jc w:val="both"/>
        <w:rPr>
          <w:rFonts w:ascii="Arial" w:eastAsia="Arial" w:hAnsi="Arial" w:cs="Arial"/>
          <w:b/>
          <w:sz w:val="22"/>
          <w:szCs w:val="22"/>
        </w:rPr>
      </w:pPr>
      <w:r>
        <w:rPr>
          <w:rFonts w:ascii="Arial" w:eastAsia="Arial" w:hAnsi="Arial" w:cs="Arial"/>
          <w:sz w:val="22"/>
          <w:szCs w:val="22"/>
        </w:rPr>
        <w:t>Cordialmente,</w:t>
      </w:r>
      <w:r>
        <w:rPr>
          <w:rFonts w:ascii="Arial" w:eastAsia="Arial" w:hAnsi="Arial" w:cs="Arial"/>
          <w:b/>
          <w:sz w:val="22"/>
          <w:szCs w:val="22"/>
        </w:rPr>
        <w:t xml:space="preserve"> </w:t>
      </w:r>
    </w:p>
    <w:p w:rsidR="003D01F5" w:rsidRDefault="003D01F5">
      <w:pPr>
        <w:jc w:val="both"/>
        <w:rPr>
          <w:rFonts w:ascii="Arial" w:eastAsia="Arial" w:hAnsi="Arial" w:cs="Arial"/>
          <w:b/>
          <w:sz w:val="22"/>
          <w:szCs w:val="22"/>
        </w:rPr>
      </w:pPr>
      <w:bookmarkStart w:id="2" w:name="_heading=h.hgqfmjyolzm" w:colFirst="0" w:colLast="0"/>
      <w:bookmarkEnd w:id="2"/>
    </w:p>
    <w:p w:rsidR="003D01F5" w:rsidRDefault="003D01F5">
      <w:pPr>
        <w:jc w:val="both"/>
        <w:rPr>
          <w:rFonts w:ascii="Arial" w:eastAsia="Arial" w:hAnsi="Arial" w:cs="Arial"/>
          <w:b/>
          <w:sz w:val="22"/>
          <w:szCs w:val="22"/>
        </w:rPr>
      </w:pPr>
    </w:p>
    <w:p w:rsidR="003D01F5" w:rsidRDefault="003D01F5">
      <w:pPr>
        <w:jc w:val="both"/>
        <w:rPr>
          <w:rFonts w:ascii="Arial" w:eastAsia="Arial" w:hAnsi="Arial" w:cs="Arial"/>
          <w:b/>
          <w:sz w:val="22"/>
          <w:szCs w:val="22"/>
        </w:rPr>
      </w:pPr>
    </w:p>
    <w:p w:rsidR="003D01F5" w:rsidRDefault="003D01F5">
      <w:pPr>
        <w:jc w:val="both"/>
        <w:rPr>
          <w:rFonts w:ascii="Arial" w:eastAsia="Arial" w:hAnsi="Arial" w:cs="Arial"/>
          <w:b/>
          <w:sz w:val="22"/>
          <w:szCs w:val="22"/>
        </w:rPr>
      </w:pPr>
    </w:p>
    <w:p w:rsidR="003D01F5" w:rsidRDefault="003D01F5">
      <w:pPr>
        <w:jc w:val="both"/>
        <w:rPr>
          <w:rFonts w:ascii="Arial" w:eastAsia="Arial" w:hAnsi="Arial" w:cs="Arial"/>
          <w:b/>
          <w:sz w:val="22"/>
          <w:szCs w:val="22"/>
        </w:rPr>
      </w:pPr>
    </w:p>
    <w:p w:rsidR="003D01F5" w:rsidRDefault="000D1D32">
      <w:pPr>
        <w:jc w:val="both"/>
        <w:rPr>
          <w:rFonts w:ascii="Arial" w:eastAsia="Arial" w:hAnsi="Arial" w:cs="Arial"/>
          <w:b/>
          <w:sz w:val="22"/>
          <w:szCs w:val="22"/>
        </w:rPr>
      </w:pPr>
      <w:r>
        <w:rPr>
          <w:rFonts w:ascii="Arial" w:eastAsia="Arial" w:hAnsi="Arial" w:cs="Arial"/>
          <w:b/>
          <w:sz w:val="22"/>
          <w:szCs w:val="22"/>
        </w:rPr>
        <w:t xml:space="preserve">RUBÉN DARÍO TORRADO PACHECO </w:t>
      </w:r>
    </w:p>
    <w:p w:rsidR="003D01F5" w:rsidRDefault="000D1D32">
      <w:pPr>
        <w:jc w:val="both"/>
        <w:rPr>
          <w:rFonts w:ascii="Arial" w:eastAsia="Arial" w:hAnsi="Arial" w:cs="Arial"/>
          <w:sz w:val="22"/>
          <w:szCs w:val="22"/>
        </w:rPr>
      </w:pPr>
      <w:r>
        <w:rPr>
          <w:rFonts w:ascii="Arial" w:eastAsia="Arial" w:hAnsi="Arial" w:cs="Arial"/>
          <w:sz w:val="22"/>
          <w:szCs w:val="22"/>
        </w:rPr>
        <w:t>Concejal de Bogotá D.C.</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b/>
          <w:sz w:val="22"/>
          <w:szCs w:val="22"/>
        </w:rPr>
      </w:pPr>
      <w:r>
        <w:rPr>
          <w:rFonts w:ascii="Arial" w:eastAsia="Arial" w:hAnsi="Arial" w:cs="Arial"/>
          <w:b/>
          <w:sz w:val="22"/>
          <w:szCs w:val="22"/>
        </w:rPr>
        <w:t>X. REFERENCIAS BIBLIOGRÁFICAS</w:t>
      </w:r>
    </w:p>
    <w:p w:rsidR="003D01F5" w:rsidRDefault="003D01F5">
      <w:pPr>
        <w:jc w:val="both"/>
        <w:rPr>
          <w:rFonts w:ascii="Arial" w:eastAsia="Arial" w:hAnsi="Arial" w:cs="Arial"/>
          <w:sz w:val="22"/>
          <w:szCs w:val="22"/>
        </w:rPr>
      </w:pPr>
    </w:p>
    <w:p w:rsidR="003D01F5" w:rsidRDefault="000D1D32">
      <w:pPr>
        <w:pStyle w:val="Ttulo4"/>
        <w:keepNext w:val="0"/>
        <w:keepLines w:val="0"/>
        <w:spacing w:line="240" w:lineRule="auto"/>
        <w:jc w:val="both"/>
        <w:rPr>
          <w:rFonts w:ascii="Arial" w:eastAsia="Arial" w:hAnsi="Arial" w:cs="Arial"/>
          <w:sz w:val="22"/>
          <w:szCs w:val="22"/>
        </w:rPr>
      </w:pPr>
      <w:bookmarkStart w:id="3" w:name="_heading=h.cwtquzic9ibt" w:colFirst="0" w:colLast="0"/>
      <w:bookmarkEnd w:id="3"/>
      <w:r>
        <w:rPr>
          <w:rFonts w:ascii="Arial" w:eastAsia="Arial" w:hAnsi="Arial" w:cs="Arial"/>
          <w:sz w:val="22"/>
          <w:szCs w:val="22"/>
        </w:rPr>
        <w:t>El Salvador</w:t>
      </w:r>
    </w:p>
    <w:p w:rsidR="003D01F5" w:rsidRDefault="000D1D32">
      <w:pPr>
        <w:numPr>
          <w:ilvl w:val="0"/>
          <w:numId w:val="1"/>
        </w:numPr>
        <w:spacing w:before="240"/>
        <w:rPr>
          <w:rFonts w:ascii="Arial" w:eastAsia="Arial" w:hAnsi="Arial" w:cs="Arial"/>
          <w:sz w:val="22"/>
          <w:szCs w:val="22"/>
        </w:rPr>
      </w:pPr>
      <w:r>
        <w:rPr>
          <w:rFonts w:ascii="Arial" w:eastAsia="Arial" w:hAnsi="Arial" w:cs="Arial"/>
          <w:sz w:val="22"/>
          <w:szCs w:val="22"/>
        </w:rPr>
        <w:t xml:space="preserve">Asamblea Legislativa. (2009). </w:t>
      </w:r>
      <w:r>
        <w:rPr>
          <w:rFonts w:ascii="Arial" w:eastAsia="Arial" w:hAnsi="Arial" w:cs="Arial"/>
          <w:i/>
          <w:sz w:val="22"/>
          <w:szCs w:val="22"/>
        </w:rPr>
        <w:t>Ley de Protección Integral de la Niñez y Adolescencia (LEPINA)</w:t>
      </w:r>
      <w:r>
        <w:rPr>
          <w:rFonts w:ascii="Arial" w:eastAsia="Arial" w:hAnsi="Arial" w:cs="Arial"/>
          <w:sz w:val="22"/>
          <w:szCs w:val="22"/>
        </w:rPr>
        <w:t>.</w:t>
      </w:r>
      <w:r>
        <w:rPr>
          <w:rFonts w:ascii="Arial" w:eastAsia="Arial" w:hAnsi="Arial" w:cs="Arial"/>
          <w:sz w:val="22"/>
          <w:szCs w:val="22"/>
        </w:rPr>
        <w:br/>
      </w:r>
      <w:hyperlink r:id="rId9">
        <w:r>
          <w:rPr>
            <w:rFonts w:ascii="Arial" w:eastAsia="Arial" w:hAnsi="Arial" w:cs="Arial"/>
            <w:sz w:val="22"/>
            <w:szCs w:val="22"/>
          </w:rPr>
          <w:t xml:space="preserve"> </w:t>
        </w:r>
      </w:hyperlink>
      <w:hyperlink r:id="rId10">
        <w:r>
          <w:rPr>
            <w:rFonts w:ascii="Arial" w:eastAsia="Arial" w:hAnsi="Arial" w:cs="Arial"/>
            <w:color w:val="1155CC"/>
            <w:sz w:val="22"/>
            <w:szCs w:val="22"/>
            <w:u w:val="single"/>
          </w:rPr>
          <w:t>https://www.transparencia.gob.sv/descarga_archivo.php?id=MjMyNTMx</w:t>
        </w:r>
        <w:r>
          <w:rPr>
            <w:rFonts w:ascii="Arial" w:eastAsia="Arial" w:hAnsi="Arial" w:cs="Arial"/>
            <w:color w:val="1155CC"/>
            <w:sz w:val="22"/>
            <w:szCs w:val="22"/>
            <w:u w:val="single"/>
          </w:rPr>
          <w:br/>
        </w:r>
      </w:hyperlink>
    </w:p>
    <w:p w:rsidR="003D01F5" w:rsidRDefault="000D1D32">
      <w:pPr>
        <w:numPr>
          <w:ilvl w:val="0"/>
          <w:numId w:val="1"/>
        </w:numPr>
        <w:rPr>
          <w:rFonts w:ascii="Arial" w:eastAsia="Arial" w:hAnsi="Arial" w:cs="Arial"/>
          <w:sz w:val="22"/>
          <w:szCs w:val="22"/>
        </w:rPr>
      </w:pPr>
      <w:r>
        <w:rPr>
          <w:rFonts w:ascii="Arial" w:eastAsia="Arial" w:hAnsi="Arial" w:cs="Arial"/>
          <w:sz w:val="22"/>
          <w:szCs w:val="22"/>
        </w:rPr>
        <w:t xml:space="preserve">Gobierno de El Salvador &amp; UNICEF. (2022). </w:t>
      </w:r>
      <w:r>
        <w:rPr>
          <w:rFonts w:ascii="Arial" w:eastAsia="Arial" w:hAnsi="Arial" w:cs="Arial"/>
          <w:i/>
          <w:sz w:val="22"/>
          <w:szCs w:val="22"/>
        </w:rPr>
        <w:t>Ley Crecer Juntos para la protección integral de la primera infancia, niñez y adolescencia</w:t>
      </w:r>
      <w:r>
        <w:rPr>
          <w:rFonts w:ascii="Arial" w:eastAsia="Arial" w:hAnsi="Arial" w:cs="Arial"/>
          <w:sz w:val="22"/>
          <w:szCs w:val="22"/>
        </w:rPr>
        <w:t>.</w:t>
      </w:r>
      <w:r>
        <w:rPr>
          <w:rFonts w:ascii="Arial" w:eastAsia="Arial" w:hAnsi="Arial" w:cs="Arial"/>
          <w:sz w:val="22"/>
          <w:szCs w:val="22"/>
        </w:rPr>
        <w:br/>
      </w:r>
      <w:hyperlink r:id="rId11">
        <w:r>
          <w:rPr>
            <w:rFonts w:ascii="Arial" w:eastAsia="Arial" w:hAnsi="Arial" w:cs="Arial"/>
            <w:sz w:val="22"/>
            <w:szCs w:val="22"/>
          </w:rPr>
          <w:t xml:space="preserve"> </w:t>
        </w:r>
      </w:hyperlink>
      <w:hyperlink r:id="rId12">
        <w:r>
          <w:rPr>
            <w:rFonts w:ascii="Arial" w:eastAsia="Arial" w:hAnsi="Arial" w:cs="Arial"/>
            <w:color w:val="1155CC"/>
            <w:sz w:val="22"/>
            <w:szCs w:val="22"/>
            <w:u w:val="single"/>
          </w:rPr>
          <w:t>https://www.unicef.org/elsalvador/media/4611/file/Ley%20Crecer%20Juntos.pdf</w:t>
        </w:r>
        <w:r>
          <w:rPr>
            <w:rFonts w:ascii="Arial" w:eastAsia="Arial" w:hAnsi="Arial" w:cs="Arial"/>
            <w:color w:val="1155CC"/>
            <w:sz w:val="22"/>
            <w:szCs w:val="22"/>
            <w:u w:val="single"/>
          </w:rPr>
          <w:br/>
        </w:r>
      </w:hyperlink>
    </w:p>
    <w:p w:rsidR="003D01F5" w:rsidRDefault="000D1D32">
      <w:pPr>
        <w:numPr>
          <w:ilvl w:val="0"/>
          <w:numId w:val="1"/>
        </w:numPr>
        <w:spacing w:after="240"/>
        <w:rPr>
          <w:rFonts w:ascii="Arial" w:eastAsia="Arial" w:hAnsi="Arial" w:cs="Arial"/>
          <w:sz w:val="22"/>
          <w:szCs w:val="22"/>
        </w:rPr>
      </w:pPr>
      <w:r>
        <w:rPr>
          <w:rFonts w:ascii="Arial" w:eastAsia="Arial" w:hAnsi="Arial" w:cs="Arial"/>
          <w:sz w:val="22"/>
          <w:szCs w:val="22"/>
        </w:rPr>
        <w:t xml:space="preserve">Human </w:t>
      </w:r>
      <w:proofErr w:type="spellStart"/>
      <w:r>
        <w:rPr>
          <w:rFonts w:ascii="Arial" w:eastAsia="Arial" w:hAnsi="Arial" w:cs="Arial"/>
          <w:sz w:val="22"/>
          <w:szCs w:val="22"/>
        </w:rPr>
        <w:t>Rights</w:t>
      </w:r>
      <w:proofErr w:type="spellEnd"/>
      <w:r>
        <w:rPr>
          <w:rFonts w:ascii="Arial" w:eastAsia="Arial" w:hAnsi="Arial" w:cs="Arial"/>
          <w:sz w:val="22"/>
          <w:szCs w:val="22"/>
        </w:rPr>
        <w:t xml:space="preserve"> </w:t>
      </w:r>
      <w:proofErr w:type="spellStart"/>
      <w:r>
        <w:rPr>
          <w:rFonts w:ascii="Arial" w:eastAsia="Arial" w:hAnsi="Arial" w:cs="Arial"/>
          <w:sz w:val="22"/>
          <w:szCs w:val="22"/>
        </w:rPr>
        <w:t>Watch</w:t>
      </w:r>
      <w:proofErr w:type="spellEnd"/>
      <w:r>
        <w:rPr>
          <w:rFonts w:ascii="Arial" w:eastAsia="Arial" w:hAnsi="Arial" w:cs="Arial"/>
          <w:sz w:val="22"/>
          <w:szCs w:val="22"/>
        </w:rPr>
        <w:t xml:space="preserve">. (2024). </w:t>
      </w:r>
      <w:r>
        <w:rPr>
          <w:rFonts w:ascii="Arial" w:eastAsia="Arial" w:hAnsi="Arial" w:cs="Arial"/>
          <w:i/>
          <w:sz w:val="22"/>
          <w:szCs w:val="22"/>
        </w:rPr>
        <w:t xml:space="preserve">El gobierno de </w:t>
      </w:r>
      <w:proofErr w:type="spellStart"/>
      <w:r>
        <w:rPr>
          <w:rFonts w:ascii="Arial" w:eastAsia="Arial" w:hAnsi="Arial" w:cs="Arial"/>
          <w:i/>
          <w:sz w:val="22"/>
          <w:szCs w:val="22"/>
        </w:rPr>
        <w:t>Bukele</w:t>
      </w:r>
      <w:proofErr w:type="spellEnd"/>
      <w:r>
        <w:rPr>
          <w:rFonts w:ascii="Arial" w:eastAsia="Arial" w:hAnsi="Arial" w:cs="Arial"/>
          <w:i/>
          <w:sz w:val="22"/>
          <w:szCs w:val="22"/>
        </w:rPr>
        <w:t xml:space="preserve"> ordena traslado de menores a cárceles para adultos</w:t>
      </w:r>
      <w:r>
        <w:rPr>
          <w:rFonts w:ascii="Arial" w:eastAsia="Arial" w:hAnsi="Arial" w:cs="Arial"/>
          <w:sz w:val="22"/>
          <w:szCs w:val="22"/>
        </w:rPr>
        <w:t>.</w:t>
      </w:r>
      <w:r>
        <w:rPr>
          <w:rFonts w:ascii="Arial" w:eastAsia="Arial" w:hAnsi="Arial" w:cs="Arial"/>
          <w:sz w:val="22"/>
          <w:szCs w:val="22"/>
        </w:rPr>
        <w:br/>
      </w:r>
      <w:hyperlink r:id="rId13">
        <w:r>
          <w:rPr>
            <w:rFonts w:ascii="Arial" w:eastAsia="Arial" w:hAnsi="Arial" w:cs="Arial"/>
            <w:sz w:val="22"/>
            <w:szCs w:val="22"/>
          </w:rPr>
          <w:t xml:space="preserve"> </w:t>
        </w:r>
      </w:hyperlink>
      <w:hyperlink r:id="rId14">
        <w:r>
          <w:rPr>
            <w:rFonts w:ascii="Arial" w:eastAsia="Arial" w:hAnsi="Arial" w:cs="Arial"/>
            <w:color w:val="1155CC"/>
            <w:sz w:val="22"/>
            <w:szCs w:val="22"/>
            <w:u w:val="single"/>
          </w:rPr>
          <w:t>https://elpais.com/america/2025-02-25/human-rights-watch-denuncia-que-el-gobierno-de-bukele-ordena-traslados-de-menores-a-carceles-para-adultos-en-el-salvador.html</w:t>
        </w:r>
        <w:r>
          <w:rPr>
            <w:rFonts w:ascii="Arial" w:eastAsia="Arial" w:hAnsi="Arial" w:cs="Arial"/>
            <w:color w:val="1155CC"/>
            <w:sz w:val="22"/>
            <w:szCs w:val="22"/>
            <w:u w:val="single"/>
          </w:rPr>
          <w:br/>
        </w:r>
      </w:hyperlink>
    </w:p>
    <w:p w:rsidR="003D01F5" w:rsidRDefault="000D1D32">
      <w:pPr>
        <w:spacing w:before="240" w:after="240"/>
        <w:rPr>
          <w:rFonts w:ascii="Arial" w:eastAsia="Arial" w:hAnsi="Arial" w:cs="Arial"/>
          <w:b/>
          <w:sz w:val="22"/>
          <w:szCs w:val="22"/>
        </w:rPr>
      </w:pPr>
      <w:r>
        <w:rPr>
          <w:rFonts w:ascii="Arial" w:eastAsia="Arial" w:hAnsi="Arial" w:cs="Arial"/>
          <w:b/>
          <w:sz w:val="22"/>
          <w:szCs w:val="22"/>
        </w:rPr>
        <w:t>Perú</w:t>
      </w:r>
    </w:p>
    <w:p w:rsidR="003D01F5" w:rsidRDefault="000D1D32">
      <w:pPr>
        <w:numPr>
          <w:ilvl w:val="0"/>
          <w:numId w:val="2"/>
        </w:numPr>
        <w:spacing w:before="240"/>
        <w:rPr>
          <w:rFonts w:ascii="Arial" w:eastAsia="Arial" w:hAnsi="Arial" w:cs="Arial"/>
          <w:sz w:val="22"/>
          <w:szCs w:val="22"/>
        </w:rPr>
      </w:pPr>
      <w:r>
        <w:rPr>
          <w:rFonts w:ascii="Arial" w:eastAsia="Arial" w:hAnsi="Arial" w:cs="Arial"/>
          <w:sz w:val="22"/>
          <w:szCs w:val="22"/>
        </w:rPr>
        <w:t xml:space="preserve">Congreso de la República del Perú. (2000). </w:t>
      </w:r>
      <w:r>
        <w:rPr>
          <w:rFonts w:ascii="Arial" w:eastAsia="Arial" w:hAnsi="Arial" w:cs="Arial"/>
          <w:i/>
          <w:sz w:val="22"/>
          <w:szCs w:val="22"/>
        </w:rPr>
        <w:t>Ley N.º 27337 – Código de los Niños y Adolescentes</w:t>
      </w:r>
      <w:r>
        <w:rPr>
          <w:rFonts w:ascii="Arial" w:eastAsia="Arial" w:hAnsi="Arial" w:cs="Arial"/>
          <w:sz w:val="22"/>
          <w:szCs w:val="22"/>
        </w:rPr>
        <w:t>.</w:t>
      </w:r>
      <w:r>
        <w:rPr>
          <w:rFonts w:ascii="Arial" w:eastAsia="Arial" w:hAnsi="Arial" w:cs="Arial"/>
          <w:sz w:val="22"/>
          <w:szCs w:val="22"/>
        </w:rPr>
        <w:br/>
      </w:r>
      <w:hyperlink r:id="rId15">
        <w:r>
          <w:rPr>
            <w:rFonts w:ascii="Arial" w:eastAsia="Arial" w:hAnsi="Arial" w:cs="Arial"/>
            <w:sz w:val="22"/>
            <w:szCs w:val="22"/>
          </w:rPr>
          <w:t xml:space="preserve"> </w:t>
        </w:r>
      </w:hyperlink>
      <w:hyperlink r:id="rId16">
        <w:r>
          <w:rPr>
            <w:rFonts w:ascii="Arial" w:eastAsia="Arial" w:hAnsi="Arial" w:cs="Arial"/>
            <w:color w:val="1155CC"/>
            <w:sz w:val="22"/>
            <w:szCs w:val="22"/>
            <w:u w:val="single"/>
          </w:rPr>
          <w:t>https://www2.congreso.gob.pe/sicr/cendocbib/con2_uibd.nsf/785F189E4413AAE805257662007254DA/%24FILE/PERU_LEY_27337.pdf</w:t>
        </w:r>
        <w:r>
          <w:rPr>
            <w:rFonts w:ascii="Arial" w:eastAsia="Arial" w:hAnsi="Arial" w:cs="Arial"/>
            <w:color w:val="1155CC"/>
            <w:sz w:val="22"/>
            <w:szCs w:val="22"/>
            <w:u w:val="single"/>
          </w:rPr>
          <w:br/>
        </w:r>
      </w:hyperlink>
    </w:p>
    <w:p w:rsidR="003D01F5" w:rsidRDefault="000D1D32">
      <w:pPr>
        <w:numPr>
          <w:ilvl w:val="0"/>
          <w:numId w:val="2"/>
        </w:numPr>
        <w:rPr>
          <w:rFonts w:ascii="Arial" w:eastAsia="Arial" w:hAnsi="Arial" w:cs="Arial"/>
          <w:sz w:val="22"/>
          <w:szCs w:val="22"/>
        </w:rPr>
      </w:pPr>
      <w:r>
        <w:rPr>
          <w:rFonts w:ascii="Arial" w:eastAsia="Arial" w:hAnsi="Arial" w:cs="Arial"/>
          <w:sz w:val="22"/>
          <w:szCs w:val="22"/>
        </w:rPr>
        <w:t xml:space="preserve">Ministerio de Trabajo y Promoción del Empleo. (2019). </w:t>
      </w:r>
      <w:r>
        <w:rPr>
          <w:rFonts w:ascii="Arial" w:eastAsia="Arial" w:hAnsi="Arial" w:cs="Arial"/>
          <w:i/>
          <w:sz w:val="22"/>
          <w:szCs w:val="22"/>
        </w:rPr>
        <w:t>Plan Nacional para la Prevención y Erradicación del Trabajo Infantil 2019–2021</w:t>
      </w:r>
      <w:r>
        <w:rPr>
          <w:rFonts w:ascii="Arial" w:eastAsia="Arial" w:hAnsi="Arial" w:cs="Arial"/>
          <w:sz w:val="22"/>
          <w:szCs w:val="22"/>
        </w:rPr>
        <w:t>.</w:t>
      </w:r>
      <w:r>
        <w:rPr>
          <w:rFonts w:ascii="Arial" w:eastAsia="Arial" w:hAnsi="Arial" w:cs="Arial"/>
          <w:sz w:val="22"/>
          <w:szCs w:val="22"/>
        </w:rPr>
        <w:br/>
      </w:r>
      <w:hyperlink r:id="rId17">
        <w:r>
          <w:rPr>
            <w:rFonts w:ascii="Arial" w:eastAsia="Arial" w:hAnsi="Arial" w:cs="Arial"/>
            <w:sz w:val="22"/>
            <w:szCs w:val="22"/>
          </w:rPr>
          <w:t xml:space="preserve"> </w:t>
        </w:r>
      </w:hyperlink>
      <w:hyperlink r:id="rId18">
        <w:r>
          <w:rPr>
            <w:rFonts w:ascii="Arial" w:eastAsia="Arial" w:hAnsi="Arial" w:cs="Arial"/>
            <w:color w:val="1155CC"/>
            <w:sz w:val="22"/>
            <w:szCs w:val="22"/>
            <w:u w:val="single"/>
          </w:rPr>
          <w:t>https://cdn.www.gob.pe/uploads/document/file/6214766/5476318-10_plan_nacional_trabajo_infantil.pdf</w:t>
        </w:r>
        <w:r>
          <w:rPr>
            <w:rFonts w:ascii="Arial" w:eastAsia="Arial" w:hAnsi="Arial" w:cs="Arial"/>
            <w:color w:val="1155CC"/>
            <w:sz w:val="22"/>
            <w:szCs w:val="22"/>
            <w:u w:val="single"/>
          </w:rPr>
          <w:br/>
        </w:r>
      </w:hyperlink>
    </w:p>
    <w:p w:rsidR="003D01F5" w:rsidRDefault="000D1D32">
      <w:pPr>
        <w:numPr>
          <w:ilvl w:val="0"/>
          <w:numId w:val="2"/>
        </w:numPr>
        <w:spacing w:after="240"/>
        <w:rPr>
          <w:rFonts w:ascii="Arial" w:eastAsia="Arial" w:hAnsi="Arial" w:cs="Arial"/>
          <w:sz w:val="22"/>
          <w:szCs w:val="22"/>
        </w:rPr>
      </w:pPr>
      <w:r>
        <w:rPr>
          <w:rFonts w:ascii="Arial" w:eastAsia="Arial" w:hAnsi="Arial" w:cs="Arial"/>
          <w:sz w:val="22"/>
          <w:szCs w:val="22"/>
        </w:rPr>
        <w:t xml:space="preserve">Instituto Nacional de Estadística e Informática – INEI. (2021). </w:t>
      </w:r>
      <w:r>
        <w:rPr>
          <w:rFonts w:ascii="Arial" w:eastAsia="Arial" w:hAnsi="Arial" w:cs="Arial"/>
          <w:i/>
          <w:sz w:val="22"/>
          <w:szCs w:val="22"/>
        </w:rPr>
        <w:t>Estadísticas de Trata de Personas</w:t>
      </w:r>
      <w:r>
        <w:rPr>
          <w:rFonts w:ascii="Arial" w:eastAsia="Arial" w:hAnsi="Arial" w:cs="Arial"/>
          <w:sz w:val="22"/>
          <w:szCs w:val="22"/>
        </w:rPr>
        <w:t>.</w:t>
      </w:r>
      <w:r>
        <w:rPr>
          <w:rFonts w:ascii="Arial" w:eastAsia="Arial" w:hAnsi="Arial" w:cs="Arial"/>
          <w:sz w:val="22"/>
          <w:szCs w:val="22"/>
        </w:rPr>
        <w:br/>
      </w:r>
      <w:hyperlink r:id="rId19">
        <w:r>
          <w:rPr>
            <w:rFonts w:ascii="Arial" w:eastAsia="Arial" w:hAnsi="Arial" w:cs="Arial"/>
            <w:sz w:val="22"/>
            <w:szCs w:val="22"/>
          </w:rPr>
          <w:t xml:space="preserve"> </w:t>
        </w:r>
      </w:hyperlink>
      <w:hyperlink r:id="rId20">
        <w:r>
          <w:rPr>
            <w:rFonts w:ascii="Arial" w:eastAsia="Arial" w:hAnsi="Arial" w:cs="Arial"/>
            <w:color w:val="1155CC"/>
            <w:sz w:val="22"/>
            <w:szCs w:val="22"/>
            <w:u w:val="single"/>
          </w:rPr>
          <w:t>https://www.inei.gob.pe/media/MenuRecursivo/publicaciones_digitales/Est/Lib1866/libro.pdf</w:t>
        </w:r>
        <w:r>
          <w:rPr>
            <w:rFonts w:ascii="Arial" w:eastAsia="Arial" w:hAnsi="Arial" w:cs="Arial"/>
            <w:color w:val="1155CC"/>
            <w:sz w:val="22"/>
            <w:szCs w:val="22"/>
            <w:u w:val="single"/>
          </w:rPr>
          <w:br/>
        </w:r>
      </w:hyperlink>
    </w:p>
    <w:p w:rsidR="003D01F5" w:rsidRDefault="000D1D32">
      <w:pPr>
        <w:pStyle w:val="Ttulo4"/>
        <w:keepNext w:val="0"/>
        <w:keepLines w:val="0"/>
        <w:spacing w:line="240" w:lineRule="auto"/>
        <w:jc w:val="both"/>
        <w:rPr>
          <w:rFonts w:ascii="Arial" w:eastAsia="Arial" w:hAnsi="Arial" w:cs="Arial"/>
          <w:sz w:val="22"/>
          <w:szCs w:val="22"/>
        </w:rPr>
      </w:pPr>
      <w:bookmarkStart w:id="4" w:name="_heading=h.pzf0hgn1tfns" w:colFirst="0" w:colLast="0"/>
      <w:bookmarkEnd w:id="4"/>
      <w:r>
        <w:rPr>
          <w:rFonts w:ascii="Arial" w:eastAsia="Arial" w:hAnsi="Arial" w:cs="Arial"/>
          <w:sz w:val="22"/>
          <w:szCs w:val="22"/>
        </w:rPr>
        <w:t>Guatemala</w:t>
      </w:r>
    </w:p>
    <w:p w:rsidR="003D01F5" w:rsidRDefault="000D1D32">
      <w:pPr>
        <w:numPr>
          <w:ilvl w:val="0"/>
          <w:numId w:val="8"/>
        </w:numPr>
        <w:spacing w:before="240"/>
        <w:rPr>
          <w:rFonts w:ascii="Arial" w:eastAsia="Arial" w:hAnsi="Arial" w:cs="Arial"/>
          <w:sz w:val="22"/>
          <w:szCs w:val="22"/>
        </w:rPr>
      </w:pPr>
      <w:r>
        <w:rPr>
          <w:rFonts w:ascii="Arial" w:eastAsia="Arial" w:hAnsi="Arial" w:cs="Arial"/>
          <w:sz w:val="22"/>
          <w:szCs w:val="22"/>
        </w:rPr>
        <w:t xml:space="preserve">Congreso de la República de Guatemala. (2003). </w:t>
      </w:r>
      <w:r>
        <w:rPr>
          <w:rFonts w:ascii="Arial" w:eastAsia="Arial" w:hAnsi="Arial" w:cs="Arial"/>
          <w:i/>
          <w:sz w:val="22"/>
          <w:szCs w:val="22"/>
        </w:rPr>
        <w:t>Decreto 27-2003 – Ley de Protección Integral de la Niñez y Adolescencia</w:t>
      </w:r>
      <w:r>
        <w:rPr>
          <w:rFonts w:ascii="Arial" w:eastAsia="Arial" w:hAnsi="Arial" w:cs="Arial"/>
          <w:sz w:val="22"/>
          <w:szCs w:val="22"/>
        </w:rPr>
        <w:t>.</w:t>
      </w:r>
      <w:r>
        <w:rPr>
          <w:rFonts w:ascii="Arial" w:eastAsia="Arial" w:hAnsi="Arial" w:cs="Arial"/>
          <w:sz w:val="22"/>
          <w:szCs w:val="22"/>
        </w:rPr>
        <w:br/>
      </w:r>
      <w:hyperlink r:id="rId21">
        <w:r>
          <w:rPr>
            <w:rFonts w:ascii="Arial" w:eastAsia="Arial" w:hAnsi="Arial" w:cs="Arial"/>
            <w:sz w:val="22"/>
            <w:szCs w:val="22"/>
          </w:rPr>
          <w:t xml:space="preserve"> </w:t>
        </w:r>
      </w:hyperlink>
      <w:hyperlink r:id="rId22">
        <w:r>
          <w:rPr>
            <w:rFonts w:ascii="Arial" w:eastAsia="Arial" w:hAnsi="Arial" w:cs="Arial"/>
            <w:color w:val="1155CC"/>
            <w:sz w:val="22"/>
            <w:szCs w:val="22"/>
            <w:u w:val="single"/>
          </w:rPr>
          <w:t>https://oig.cepal.org/sites/default/files/2003_d27-2003_gtm.pdf</w:t>
        </w:r>
        <w:r>
          <w:rPr>
            <w:rFonts w:ascii="Arial" w:eastAsia="Arial" w:hAnsi="Arial" w:cs="Arial"/>
            <w:color w:val="1155CC"/>
            <w:sz w:val="22"/>
            <w:szCs w:val="22"/>
            <w:u w:val="single"/>
          </w:rPr>
          <w:br/>
        </w:r>
      </w:hyperlink>
    </w:p>
    <w:p w:rsidR="003D01F5" w:rsidRDefault="000D1D32">
      <w:pPr>
        <w:numPr>
          <w:ilvl w:val="0"/>
          <w:numId w:val="8"/>
        </w:numPr>
        <w:spacing w:after="240"/>
        <w:rPr>
          <w:rFonts w:ascii="Arial" w:eastAsia="Arial" w:hAnsi="Arial" w:cs="Arial"/>
          <w:sz w:val="22"/>
          <w:szCs w:val="22"/>
        </w:rPr>
      </w:pPr>
      <w:r>
        <w:rPr>
          <w:rFonts w:ascii="Arial" w:eastAsia="Arial" w:hAnsi="Arial" w:cs="Arial"/>
          <w:sz w:val="22"/>
          <w:szCs w:val="22"/>
        </w:rPr>
        <w:t xml:space="preserve">Secretaría de Planificación y Programación de la Presidencia – SEGEPLAN. (2014). </w:t>
      </w:r>
      <w:r>
        <w:rPr>
          <w:rFonts w:ascii="Arial" w:eastAsia="Arial" w:hAnsi="Arial" w:cs="Arial"/>
          <w:i/>
          <w:sz w:val="22"/>
          <w:szCs w:val="22"/>
        </w:rPr>
        <w:t>Política Pública de Protección Integral de la Niñez y Adolescencia (PPPINA)</w:t>
      </w:r>
      <w:r>
        <w:rPr>
          <w:rFonts w:ascii="Arial" w:eastAsia="Arial" w:hAnsi="Arial" w:cs="Arial"/>
          <w:sz w:val="22"/>
          <w:szCs w:val="22"/>
        </w:rPr>
        <w:t>.</w:t>
      </w:r>
      <w:r>
        <w:rPr>
          <w:rFonts w:ascii="Arial" w:eastAsia="Arial" w:hAnsi="Arial" w:cs="Arial"/>
          <w:sz w:val="22"/>
          <w:szCs w:val="22"/>
        </w:rPr>
        <w:br/>
      </w:r>
      <w:hyperlink r:id="rId23">
        <w:r>
          <w:rPr>
            <w:rFonts w:ascii="Arial" w:eastAsia="Arial" w:hAnsi="Arial" w:cs="Arial"/>
            <w:sz w:val="22"/>
            <w:szCs w:val="22"/>
          </w:rPr>
          <w:t xml:space="preserve"> </w:t>
        </w:r>
      </w:hyperlink>
      <w:hyperlink r:id="rId24">
        <w:r>
          <w:rPr>
            <w:rFonts w:ascii="Arial" w:eastAsia="Arial" w:hAnsi="Arial" w:cs="Arial"/>
            <w:color w:val="1155CC"/>
            <w:sz w:val="22"/>
            <w:szCs w:val="22"/>
            <w:u w:val="single"/>
          </w:rPr>
          <w:t>https://ecursos.segeplan.gob.gt/CAPP/documentos/41/PPPINA.pdf</w:t>
        </w:r>
        <w:r>
          <w:rPr>
            <w:rFonts w:ascii="Arial" w:eastAsia="Arial" w:hAnsi="Arial" w:cs="Arial"/>
            <w:color w:val="1155CC"/>
            <w:sz w:val="22"/>
            <w:szCs w:val="22"/>
            <w:u w:val="single"/>
          </w:rPr>
          <w:br/>
        </w:r>
      </w:hyperlink>
    </w:p>
    <w:p w:rsidR="003D01F5" w:rsidRDefault="000D1D32">
      <w:pPr>
        <w:pStyle w:val="Ttulo4"/>
        <w:keepNext w:val="0"/>
        <w:keepLines w:val="0"/>
        <w:spacing w:line="240" w:lineRule="auto"/>
        <w:jc w:val="both"/>
        <w:rPr>
          <w:rFonts w:ascii="Arial" w:eastAsia="Arial" w:hAnsi="Arial" w:cs="Arial"/>
          <w:sz w:val="22"/>
          <w:szCs w:val="22"/>
        </w:rPr>
      </w:pPr>
      <w:bookmarkStart w:id="5" w:name="_heading=h.yc761i5g9ptm" w:colFirst="0" w:colLast="0"/>
      <w:bookmarkEnd w:id="5"/>
      <w:r>
        <w:rPr>
          <w:rFonts w:ascii="Arial" w:eastAsia="Arial" w:hAnsi="Arial" w:cs="Arial"/>
          <w:sz w:val="22"/>
          <w:szCs w:val="22"/>
        </w:rPr>
        <w:t>Fuentes complementarias internacionales</w:t>
      </w:r>
    </w:p>
    <w:p w:rsidR="003D01F5" w:rsidRDefault="000D1D32">
      <w:pPr>
        <w:numPr>
          <w:ilvl w:val="0"/>
          <w:numId w:val="3"/>
        </w:numPr>
        <w:spacing w:before="240"/>
        <w:rPr>
          <w:rFonts w:ascii="Arial" w:eastAsia="Arial" w:hAnsi="Arial" w:cs="Arial"/>
          <w:sz w:val="22"/>
          <w:szCs w:val="22"/>
        </w:rPr>
      </w:pPr>
      <w:r>
        <w:rPr>
          <w:rFonts w:ascii="Arial" w:eastAsia="Arial" w:hAnsi="Arial" w:cs="Arial"/>
          <w:sz w:val="22"/>
          <w:szCs w:val="22"/>
        </w:rPr>
        <w:lastRenderedPageBreak/>
        <w:t xml:space="preserve">Naciones Unidas. (2000). </w:t>
      </w:r>
      <w:r>
        <w:rPr>
          <w:rFonts w:ascii="Arial" w:eastAsia="Arial" w:hAnsi="Arial" w:cs="Arial"/>
          <w:i/>
          <w:sz w:val="22"/>
          <w:szCs w:val="22"/>
        </w:rPr>
        <w:t>Protocolo Facultativo de la Convención sobre los Derechos del Niño relativo a la participación de niños en los conflictos armados</w:t>
      </w:r>
      <w:r>
        <w:rPr>
          <w:rFonts w:ascii="Arial" w:eastAsia="Arial" w:hAnsi="Arial" w:cs="Arial"/>
          <w:sz w:val="22"/>
          <w:szCs w:val="22"/>
        </w:rPr>
        <w:t>.</w:t>
      </w:r>
      <w:r>
        <w:rPr>
          <w:rFonts w:ascii="Arial" w:eastAsia="Arial" w:hAnsi="Arial" w:cs="Arial"/>
          <w:sz w:val="22"/>
          <w:szCs w:val="22"/>
        </w:rPr>
        <w:br/>
      </w:r>
      <w:hyperlink r:id="rId25">
        <w:r>
          <w:rPr>
            <w:rFonts w:ascii="Arial" w:eastAsia="Arial" w:hAnsi="Arial" w:cs="Arial"/>
            <w:sz w:val="22"/>
            <w:szCs w:val="22"/>
          </w:rPr>
          <w:t xml:space="preserve"> </w:t>
        </w:r>
      </w:hyperlink>
      <w:hyperlink r:id="rId26">
        <w:r>
          <w:rPr>
            <w:rFonts w:ascii="Arial" w:eastAsia="Arial" w:hAnsi="Arial" w:cs="Arial"/>
            <w:color w:val="1155CC"/>
            <w:sz w:val="22"/>
            <w:szCs w:val="22"/>
            <w:u w:val="single"/>
          </w:rPr>
          <w:t>https://www.ohchr.org/es/instruments-mechanisms/instruments/optional-protocol-convention-rights-child-involvement-armed-conflict</w:t>
        </w:r>
        <w:r>
          <w:rPr>
            <w:rFonts w:ascii="Arial" w:eastAsia="Arial" w:hAnsi="Arial" w:cs="Arial"/>
            <w:color w:val="1155CC"/>
            <w:sz w:val="22"/>
            <w:szCs w:val="22"/>
            <w:u w:val="single"/>
          </w:rPr>
          <w:br/>
        </w:r>
      </w:hyperlink>
    </w:p>
    <w:p w:rsidR="003D01F5" w:rsidRDefault="000D1D32">
      <w:pPr>
        <w:numPr>
          <w:ilvl w:val="0"/>
          <w:numId w:val="3"/>
        </w:numPr>
        <w:spacing w:after="240"/>
        <w:rPr>
          <w:rFonts w:ascii="Arial" w:eastAsia="Arial" w:hAnsi="Arial" w:cs="Arial"/>
          <w:sz w:val="22"/>
          <w:szCs w:val="22"/>
        </w:rPr>
      </w:pPr>
      <w:r>
        <w:rPr>
          <w:rFonts w:ascii="Arial" w:eastAsia="Arial" w:hAnsi="Arial" w:cs="Arial"/>
          <w:sz w:val="22"/>
          <w:szCs w:val="22"/>
        </w:rPr>
        <w:t xml:space="preserve">Human </w:t>
      </w:r>
      <w:proofErr w:type="spellStart"/>
      <w:r>
        <w:rPr>
          <w:rFonts w:ascii="Arial" w:eastAsia="Arial" w:hAnsi="Arial" w:cs="Arial"/>
          <w:sz w:val="22"/>
          <w:szCs w:val="22"/>
        </w:rPr>
        <w:t>Rights</w:t>
      </w:r>
      <w:proofErr w:type="spellEnd"/>
      <w:r>
        <w:rPr>
          <w:rFonts w:ascii="Arial" w:eastAsia="Arial" w:hAnsi="Arial" w:cs="Arial"/>
          <w:sz w:val="22"/>
          <w:szCs w:val="22"/>
        </w:rPr>
        <w:t xml:space="preserve"> </w:t>
      </w:r>
      <w:proofErr w:type="spellStart"/>
      <w:r>
        <w:rPr>
          <w:rFonts w:ascii="Arial" w:eastAsia="Arial" w:hAnsi="Arial" w:cs="Arial"/>
          <w:sz w:val="22"/>
          <w:szCs w:val="22"/>
        </w:rPr>
        <w:t>Watch</w:t>
      </w:r>
      <w:proofErr w:type="spellEnd"/>
      <w:r>
        <w:rPr>
          <w:rFonts w:ascii="Arial" w:eastAsia="Arial" w:hAnsi="Arial" w:cs="Arial"/>
          <w:sz w:val="22"/>
          <w:szCs w:val="22"/>
        </w:rPr>
        <w:t xml:space="preserve">. (2020). </w:t>
      </w:r>
      <w:proofErr w:type="spellStart"/>
      <w:r>
        <w:rPr>
          <w:rFonts w:ascii="Arial" w:eastAsia="Arial" w:hAnsi="Arial" w:cs="Arial"/>
          <w:i/>
          <w:sz w:val="22"/>
          <w:szCs w:val="22"/>
        </w:rPr>
        <w:t>World</w:t>
      </w:r>
      <w:proofErr w:type="spellEnd"/>
      <w:r>
        <w:rPr>
          <w:rFonts w:ascii="Arial" w:eastAsia="Arial" w:hAnsi="Arial" w:cs="Arial"/>
          <w:i/>
          <w:sz w:val="22"/>
          <w:szCs w:val="22"/>
        </w:rPr>
        <w:t xml:space="preserve"> </w:t>
      </w:r>
      <w:proofErr w:type="spellStart"/>
      <w:r>
        <w:rPr>
          <w:rFonts w:ascii="Arial" w:eastAsia="Arial" w:hAnsi="Arial" w:cs="Arial"/>
          <w:i/>
          <w:sz w:val="22"/>
          <w:szCs w:val="22"/>
        </w:rPr>
        <w:t>Report</w:t>
      </w:r>
      <w:proofErr w:type="spellEnd"/>
      <w:r>
        <w:rPr>
          <w:rFonts w:ascii="Arial" w:eastAsia="Arial" w:hAnsi="Arial" w:cs="Arial"/>
          <w:i/>
          <w:sz w:val="22"/>
          <w:szCs w:val="22"/>
        </w:rPr>
        <w:t xml:space="preserve"> 2020: </w:t>
      </w:r>
      <w:proofErr w:type="spellStart"/>
      <w:r>
        <w:rPr>
          <w:rFonts w:ascii="Arial" w:eastAsia="Arial" w:hAnsi="Arial" w:cs="Arial"/>
          <w:i/>
          <w:sz w:val="22"/>
          <w:szCs w:val="22"/>
        </w:rPr>
        <w:t>Events</w:t>
      </w:r>
      <w:proofErr w:type="spellEnd"/>
      <w:r>
        <w:rPr>
          <w:rFonts w:ascii="Arial" w:eastAsia="Arial" w:hAnsi="Arial" w:cs="Arial"/>
          <w:i/>
          <w:sz w:val="22"/>
          <w:szCs w:val="22"/>
        </w:rPr>
        <w:t xml:space="preserve"> of 2019 – El Salvador, Guatemala, Perú</w:t>
      </w:r>
      <w:r>
        <w:rPr>
          <w:rFonts w:ascii="Arial" w:eastAsia="Arial" w:hAnsi="Arial" w:cs="Arial"/>
          <w:sz w:val="22"/>
          <w:szCs w:val="22"/>
        </w:rPr>
        <w:t>.</w:t>
      </w:r>
      <w:r>
        <w:rPr>
          <w:rFonts w:ascii="Arial" w:eastAsia="Arial" w:hAnsi="Arial" w:cs="Arial"/>
          <w:sz w:val="22"/>
          <w:szCs w:val="22"/>
        </w:rPr>
        <w:br/>
      </w:r>
      <w:hyperlink r:id="rId27">
        <w:r>
          <w:rPr>
            <w:rFonts w:ascii="Arial" w:eastAsia="Arial" w:hAnsi="Arial" w:cs="Arial"/>
            <w:sz w:val="22"/>
            <w:szCs w:val="22"/>
          </w:rPr>
          <w:t xml:space="preserve"> </w:t>
        </w:r>
      </w:hyperlink>
      <w:hyperlink r:id="rId28">
        <w:r>
          <w:rPr>
            <w:rFonts w:ascii="Arial" w:eastAsia="Arial" w:hAnsi="Arial" w:cs="Arial"/>
            <w:color w:val="1155CC"/>
            <w:sz w:val="22"/>
            <w:szCs w:val="22"/>
            <w:u w:val="single"/>
          </w:rPr>
          <w:t>https://www.hrw.org/world-report/2020</w:t>
        </w:r>
        <w:r>
          <w:rPr>
            <w:rFonts w:ascii="Arial" w:eastAsia="Arial" w:hAnsi="Arial" w:cs="Arial"/>
            <w:color w:val="1155CC"/>
            <w:sz w:val="22"/>
            <w:szCs w:val="22"/>
            <w:u w:val="single"/>
          </w:rPr>
          <w:br/>
        </w:r>
      </w:hyperlink>
    </w:p>
    <w:p w:rsidR="003D01F5" w:rsidRDefault="000D1D32">
      <w:pPr>
        <w:jc w:val="both"/>
        <w:rPr>
          <w:rFonts w:ascii="Arial" w:eastAsia="Arial" w:hAnsi="Arial" w:cs="Arial"/>
          <w:sz w:val="22"/>
          <w:szCs w:val="22"/>
        </w:rPr>
      </w:pPr>
      <w:r>
        <w:rPr>
          <w:rFonts w:ascii="Arial" w:eastAsia="Arial" w:hAnsi="Arial" w:cs="Arial"/>
          <w:sz w:val="22"/>
          <w:szCs w:val="22"/>
        </w:rPr>
        <w:t xml:space="preserve">Centro Nacional de Memoria Histórica (2017). Una guerra sin edad. Informe nacional de reclutamiento y utilización de niños, niñas y adolescentes en el conflicto armado colombiano. CNMH, Bogotá. ISBN: 978-958-8944-82-1. [Disponible en: </w:t>
      </w:r>
      <w:hyperlink r:id="rId29">
        <w:r>
          <w:rPr>
            <w:rFonts w:ascii="Arial" w:eastAsia="Arial" w:hAnsi="Arial" w:cs="Arial"/>
            <w:color w:val="1155CC"/>
            <w:sz w:val="22"/>
            <w:szCs w:val="22"/>
            <w:u w:val="single"/>
          </w:rPr>
          <w:t>https://centrodememoriahistorica.gov.co/wp-content/uploads/2021/06/Una-guerra-sin-edad.pdf</w:t>
        </w:r>
      </w:hyperlink>
      <w:r>
        <w:rPr>
          <w:rFonts w:ascii="Arial" w:eastAsia="Arial" w:hAnsi="Arial" w:cs="Arial"/>
          <w:sz w:val="22"/>
          <w:szCs w:val="22"/>
        </w:rPr>
        <w:t>]</w:t>
      </w:r>
    </w:p>
    <w:p w:rsidR="003D01F5" w:rsidRDefault="003D01F5">
      <w:pPr>
        <w:jc w:val="both"/>
        <w:rPr>
          <w:rFonts w:ascii="Arial" w:eastAsia="Arial" w:hAnsi="Arial" w:cs="Arial"/>
          <w:sz w:val="22"/>
          <w:szCs w:val="22"/>
        </w:rPr>
      </w:pPr>
    </w:p>
    <w:p w:rsidR="003D01F5" w:rsidRDefault="003D01F5">
      <w:pPr>
        <w:jc w:val="both"/>
        <w:rPr>
          <w:rFonts w:ascii="Arial" w:eastAsia="Arial" w:hAnsi="Arial" w:cs="Arial"/>
          <w:sz w:val="22"/>
          <w:szCs w:val="22"/>
        </w:rPr>
      </w:pPr>
    </w:p>
    <w:p w:rsidR="003D01F5" w:rsidRDefault="003D01F5">
      <w:pPr>
        <w:jc w:val="both"/>
        <w:rPr>
          <w:rFonts w:ascii="Arial" w:eastAsia="Arial" w:hAnsi="Arial" w:cs="Arial"/>
          <w:sz w:val="22"/>
          <w:szCs w:val="22"/>
        </w:rPr>
      </w:pPr>
    </w:p>
    <w:p w:rsidR="003D01F5" w:rsidRDefault="003D01F5">
      <w:pPr>
        <w:jc w:val="both"/>
        <w:rPr>
          <w:rFonts w:ascii="Arial" w:eastAsia="Arial" w:hAnsi="Arial" w:cs="Arial"/>
          <w:sz w:val="22"/>
          <w:szCs w:val="22"/>
        </w:rPr>
      </w:pPr>
    </w:p>
    <w:p w:rsidR="003D01F5" w:rsidRDefault="003D01F5">
      <w:pPr>
        <w:jc w:val="both"/>
        <w:rPr>
          <w:rFonts w:ascii="Arial" w:eastAsia="Arial" w:hAnsi="Arial" w:cs="Arial"/>
          <w:sz w:val="22"/>
          <w:szCs w:val="22"/>
        </w:rPr>
      </w:pPr>
    </w:p>
    <w:p w:rsidR="003D01F5" w:rsidRDefault="003D01F5">
      <w:pPr>
        <w:jc w:val="both"/>
        <w:rPr>
          <w:rFonts w:ascii="Arial" w:eastAsia="Arial" w:hAnsi="Arial" w:cs="Arial"/>
          <w:sz w:val="22"/>
          <w:szCs w:val="22"/>
        </w:rPr>
      </w:pPr>
    </w:p>
    <w:p w:rsidR="003D01F5" w:rsidRDefault="003D01F5">
      <w:pPr>
        <w:jc w:val="both"/>
        <w:rPr>
          <w:rFonts w:ascii="Arial" w:eastAsia="Arial" w:hAnsi="Arial" w:cs="Arial"/>
          <w:sz w:val="22"/>
          <w:szCs w:val="22"/>
        </w:rPr>
      </w:pPr>
    </w:p>
    <w:p w:rsidR="003D01F5" w:rsidRDefault="003D01F5">
      <w:pPr>
        <w:jc w:val="both"/>
        <w:rPr>
          <w:rFonts w:ascii="Arial" w:eastAsia="Arial" w:hAnsi="Arial" w:cs="Arial"/>
          <w:sz w:val="22"/>
          <w:szCs w:val="22"/>
        </w:rPr>
      </w:pPr>
    </w:p>
    <w:p w:rsidR="003D01F5" w:rsidRDefault="003D01F5">
      <w:pPr>
        <w:jc w:val="both"/>
        <w:rPr>
          <w:rFonts w:ascii="Arial" w:eastAsia="Arial" w:hAnsi="Arial" w:cs="Arial"/>
          <w:sz w:val="22"/>
          <w:szCs w:val="22"/>
        </w:rPr>
      </w:pPr>
    </w:p>
    <w:p w:rsidR="003D01F5" w:rsidRDefault="003D01F5">
      <w:pPr>
        <w:jc w:val="both"/>
        <w:rPr>
          <w:rFonts w:ascii="Arial" w:eastAsia="Arial" w:hAnsi="Arial" w:cs="Arial"/>
          <w:sz w:val="22"/>
          <w:szCs w:val="22"/>
        </w:rPr>
      </w:pP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b/>
          <w:sz w:val="22"/>
          <w:szCs w:val="22"/>
        </w:rPr>
      </w:pPr>
      <w:r>
        <w:rPr>
          <w:rFonts w:ascii="Arial" w:eastAsia="Arial" w:hAnsi="Arial" w:cs="Arial"/>
          <w:b/>
          <w:sz w:val="22"/>
          <w:szCs w:val="22"/>
        </w:rPr>
        <w:t>XI. PLIEGO DE MODIFICACIONES</w:t>
      </w:r>
    </w:p>
    <w:p w:rsidR="003D01F5" w:rsidRDefault="003D01F5">
      <w:pPr>
        <w:jc w:val="both"/>
        <w:rPr>
          <w:rFonts w:ascii="Arial" w:eastAsia="Arial" w:hAnsi="Arial" w:cs="Arial"/>
          <w:b/>
          <w:sz w:val="22"/>
          <w:szCs w:val="22"/>
        </w:rPr>
      </w:pPr>
    </w:p>
    <w:p w:rsidR="003D01F5" w:rsidRDefault="000D1D32">
      <w:pPr>
        <w:jc w:val="both"/>
        <w:rPr>
          <w:rFonts w:ascii="Arial" w:eastAsia="Arial" w:hAnsi="Arial" w:cs="Arial"/>
          <w:sz w:val="22"/>
          <w:szCs w:val="22"/>
        </w:rPr>
      </w:pPr>
      <w:r>
        <w:rPr>
          <w:rFonts w:ascii="Arial" w:eastAsia="Arial" w:hAnsi="Arial" w:cs="Arial"/>
          <w:sz w:val="22"/>
          <w:szCs w:val="22"/>
        </w:rPr>
        <w:t>A continuación, se encuentran las modificaciones propuestas en calidad de ponentes:</w:t>
      </w:r>
    </w:p>
    <w:p w:rsidR="003D01F5" w:rsidRDefault="003D01F5">
      <w:pPr>
        <w:jc w:val="both"/>
        <w:rPr>
          <w:rFonts w:ascii="Arial" w:eastAsia="Arial" w:hAnsi="Arial" w:cs="Arial"/>
          <w:sz w:val="22"/>
          <w:szCs w:val="22"/>
        </w:rPr>
      </w:pPr>
    </w:p>
    <w:tbl>
      <w:tblPr>
        <w:tblStyle w:val="a8"/>
        <w:tblW w:w="909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00"/>
        <w:gridCol w:w="3119"/>
        <w:gridCol w:w="2871"/>
      </w:tblGrid>
      <w:tr w:rsidR="003D01F5">
        <w:tc>
          <w:tcPr>
            <w:tcW w:w="3100" w:type="dxa"/>
            <w:shd w:val="clear" w:color="auto" w:fill="DBDBDB"/>
            <w:vAlign w:val="center"/>
          </w:tcPr>
          <w:p w:rsidR="003D01F5" w:rsidRDefault="000D1D32">
            <w:pPr>
              <w:jc w:val="center"/>
              <w:rPr>
                <w:rFonts w:ascii="Arial" w:eastAsia="Arial" w:hAnsi="Arial" w:cs="Arial"/>
                <w:b/>
                <w:sz w:val="22"/>
                <w:szCs w:val="22"/>
              </w:rPr>
            </w:pPr>
            <w:r>
              <w:rPr>
                <w:rFonts w:ascii="Arial" w:eastAsia="Arial" w:hAnsi="Arial" w:cs="Arial"/>
                <w:b/>
                <w:sz w:val="22"/>
                <w:szCs w:val="22"/>
              </w:rPr>
              <w:t>TEXTO RADICADO</w:t>
            </w:r>
          </w:p>
        </w:tc>
        <w:tc>
          <w:tcPr>
            <w:tcW w:w="3119" w:type="dxa"/>
            <w:shd w:val="clear" w:color="auto" w:fill="DBDBDB"/>
            <w:vAlign w:val="center"/>
          </w:tcPr>
          <w:p w:rsidR="003D01F5" w:rsidRDefault="000D1D32">
            <w:pPr>
              <w:jc w:val="center"/>
              <w:rPr>
                <w:rFonts w:ascii="Arial" w:eastAsia="Arial" w:hAnsi="Arial" w:cs="Arial"/>
                <w:b/>
                <w:sz w:val="22"/>
                <w:szCs w:val="22"/>
              </w:rPr>
            </w:pPr>
            <w:r>
              <w:rPr>
                <w:rFonts w:ascii="Arial" w:eastAsia="Arial" w:hAnsi="Arial" w:cs="Arial"/>
                <w:b/>
                <w:sz w:val="22"/>
                <w:szCs w:val="22"/>
              </w:rPr>
              <w:t>TEXTO PROPUESTO PARA PRIMER DEBATE</w:t>
            </w:r>
          </w:p>
        </w:tc>
        <w:tc>
          <w:tcPr>
            <w:tcW w:w="2871" w:type="dxa"/>
            <w:shd w:val="clear" w:color="auto" w:fill="DBDBDB"/>
            <w:vAlign w:val="center"/>
          </w:tcPr>
          <w:p w:rsidR="003D01F5" w:rsidRDefault="000D1D32">
            <w:pPr>
              <w:jc w:val="center"/>
              <w:rPr>
                <w:rFonts w:ascii="Arial" w:eastAsia="Arial" w:hAnsi="Arial" w:cs="Arial"/>
                <w:b/>
                <w:sz w:val="22"/>
                <w:szCs w:val="22"/>
              </w:rPr>
            </w:pPr>
            <w:r>
              <w:rPr>
                <w:rFonts w:ascii="Arial" w:eastAsia="Arial" w:hAnsi="Arial" w:cs="Arial"/>
                <w:b/>
                <w:sz w:val="22"/>
                <w:szCs w:val="22"/>
              </w:rPr>
              <w:t>OBSERVACIONES</w:t>
            </w:r>
          </w:p>
        </w:tc>
      </w:tr>
      <w:tr w:rsidR="003D01F5">
        <w:trPr>
          <w:trHeight w:val="2033"/>
        </w:trPr>
        <w:tc>
          <w:tcPr>
            <w:tcW w:w="3100" w:type="dxa"/>
          </w:tcPr>
          <w:p w:rsidR="003D01F5" w:rsidRDefault="000D1D32">
            <w:pPr>
              <w:jc w:val="both"/>
              <w:rPr>
                <w:rFonts w:ascii="Arial" w:eastAsia="Arial" w:hAnsi="Arial" w:cs="Arial"/>
                <w:sz w:val="22"/>
                <w:szCs w:val="22"/>
                <w:highlight w:val="white"/>
              </w:rPr>
            </w:pPr>
            <w:r>
              <w:rPr>
                <w:rFonts w:ascii="Arial" w:eastAsia="Arial" w:hAnsi="Arial" w:cs="Arial"/>
                <w:b/>
                <w:sz w:val="22"/>
                <w:szCs w:val="22"/>
                <w:highlight w:val="white"/>
              </w:rPr>
              <w:t>ARTÍCULO</w:t>
            </w:r>
            <w:r>
              <w:rPr>
                <w:rFonts w:ascii="Arial" w:eastAsia="Arial" w:hAnsi="Arial" w:cs="Arial"/>
                <w:b/>
                <w:sz w:val="22"/>
                <w:szCs w:val="22"/>
              </w:rPr>
              <w:t> </w:t>
            </w:r>
            <w:r>
              <w:rPr>
                <w:rFonts w:ascii="Arial" w:eastAsia="Arial" w:hAnsi="Arial" w:cs="Arial"/>
                <w:b/>
                <w:sz w:val="22"/>
                <w:szCs w:val="22"/>
                <w:highlight w:val="white"/>
              </w:rPr>
              <w:t> 1. OBJETO.</w:t>
            </w:r>
            <w:r>
              <w:rPr>
                <w:rFonts w:ascii="Arial" w:eastAsia="Arial" w:hAnsi="Arial" w:cs="Arial"/>
                <w:sz w:val="22"/>
                <w:szCs w:val="22"/>
                <w:highlight w:val="white"/>
              </w:rPr>
              <w:t xml:space="preserve"> En el marco de la Política Pública de Primera Infancia, Infancia y Adolescencia 2023-2033, y la Política Pública Distrital de Juventud 2019–2030, así como las demás normas que las modifiquen, deroguen, sustituyan o actualicen, se establecen lineamientos para prevenir el reclutamiento, utilización, usó, violencia y explotación sexual en contra de niños, niñas, adolescentes </w:t>
            </w:r>
            <w:r>
              <w:rPr>
                <w:rFonts w:ascii="Arial" w:eastAsia="Arial" w:hAnsi="Arial" w:cs="Arial"/>
                <w:sz w:val="22"/>
                <w:szCs w:val="22"/>
                <w:highlight w:val="white"/>
              </w:rPr>
              <w:lastRenderedPageBreak/>
              <w:t>y jóvenes (NNAJ) por parte de grupos armados organizados (GAO) y grupos delictivos organizados (GDO) en Bogotá D.C., a través de la identificación temprana de riesgos, la promoción de entornos protectores, la articulación interinstitucional y estrategias de monitoreo y evaluación.</w:t>
            </w:r>
          </w:p>
          <w:p w:rsidR="003D01F5" w:rsidRDefault="003D01F5">
            <w:pPr>
              <w:jc w:val="both"/>
              <w:rPr>
                <w:rFonts w:ascii="Arial" w:eastAsia="Arial" w:hAnsi="Arial" w:cs="Arial"/>
                <w:sz w:val="22"/>
                <w:szCs w:val="22"/>
                <w:highlight w:val="white"/>
              </w:rPr>
            </w:pPr>
          </w:p>
          <w:p w:rsidR="003D01F5" w:rsidRDefault="000D1D32">
            <w:pPr>
              <w:jc w:val="both"/>
              <w:rPr>
                <w:rFonts w:ascii="Arial" w:eastAsia="Arial" w:hAnsi="Arial" w:cs="Arial"/>
                <w:sz w:val="22"/>
                <w:szCs w:val="22"/>
              </w:rPr>
            </w:pPr>
            <w:r>
              <w:rPr>
                <w:rFonts w:ascii="Arial" w:eastAsia="Arial" w:hAnsi="Arial" w:cs="Arial"/>
                <w:sz w:val="22"/>
                <w:szCs w:val="22"/>
                <w:highlight w:val="white"/>
              </w:rPr>
              <w:t xml:space="preserve">Se propenderá porque estas acciones estén fundamentadas en las mejores prácticas nacionales e internacionales basadas en evidencia rigurosa. </w:t>
            </w:r>
          </w:p>
        </w:tc>
        <w:tc>
          <w:tcPr>
            <w:tcW w:w="3119" w:type="dxa"/>
          </w:tcPr>
          <w:p w:rsidR="003D01F5" w:rsidRDefault="000D1D32">
            <w:pPr>
              <w:spacing w:before="240" w:after="240"/>
              <w:jc w:val="both"/>
              <w:rPr>
                <w:rFonts w:ascii="Arial" w:eastAsia="Arial" w:hAnsi="Arial" w:cs="Arial"/>
                <w:sz w:val="22"/>
                <w:szCs w:val="22"/>
              </w:rPr>
            </w:pPr>
            <w:r>
              <w:rPr>
                <w:rFonts w:ascii="Arial" w:eastAsia="Arial" w:hAnsi="Arial" w:cs="Arial"/>
                <w:b/>
                <w:sz w:val="22"/>
                <w:szCs w:val="22"/>
              </w:rPr>
              <w:lastRenderedPageBreak/>
              <w:t>ARTÍCULO 1. OBJETO.</w:t>
            </w:r>
            <w:r>
              <w:rPr>
                <w:rFonts w:ascii="Arial" w:eastAsia="Arial" w:hAnsi="Arial" w:cs="Arial"/>
                <w:sz w:val="22"/>
                <w:szCs w:val="22"/>
              </w:rPr>
              <w:t xml:space="preserve"> El presente Proyecto Acuerdo tiene por objeto establecer lineamientos distritales para la prevención del reclutamiento, utilización, usó, violencia y explotación sexual de niños, niñas, adolescentes y jóvenes (NNAJ) por parte de grupos armados organizados (GAO) y grupos delictivos organizados (GDO) en </w:t>
            </w:r>
            <w:r>
              <w:rPr>
                <w:rFonts w:ascii="Arial" w:eastAsia="Arial" w:hAnsi="Arial" w:cs="Arial"/>
                <w:sz w:val="22"/>
                <w:szCs w:val="22"/>
              </w:rPr>
              <w:lastRenderedPageBreak/>
              <w:t>Bogotá D.C., en el marco de la Política Pública de Primera Infancia, Infancia y Adolescencia 2023–2033, la Política Pública Distrital de Juventud 2019–2030, y demás normas que las sustituyan, modifiquen o actualicen.</w:t>
            </w:r>
          </w:p>
          <w:p w:rsidR="003D01F5" w:rsidRDefault="000D1D32">
            <w:pPr>
              <w:spacing w:before="240" w:after="240"/>
              <w:jc w:val="both"/>
              <w:rPr>
                <w:rFonts w:ascii="Arial" w:eastAsia="Arial" w:hAnsi="Arial" w:cs="Arial"/>
                <w:sz w:val="22"/>
                <w:szCs w:val="22"/>
              </w:rPr>
            </w:pPr>
            <w:r>
              <w:rPr>
                <w:rFonts w:ascii="Arial" w:eastAsia="Arial" w:hAnsi="Arial" w:cs="Arial"/>
                <w:sz w:val="22"/>
                <w:szCs w:val="22"/>
              </w:rPr>
              <w:t>Estas acciones se desarrollarán mediante la identificación temprana de riesgos, la promoción de entornos protectores, la articulación interinstitucional y el diseño de estrategias de monitoreo y evaluación con enfoque diferencial y territorial. Se propenderá por la aplicación de las mejores prácticas nacionales e internacionales, sustentadas en evidencia rigurosa y principios de acción sin daño.</w:t>
            </w:r>
          </w:p>
          <w:p w:rsidR="003D01F5" w:rsidRDefault="003D01F5">
            <w:pPr>
              <w:jc w:val="both"/>
              <w:rPr>
                <w:rFonts w:ascii="Arial" w:eastAsia="Arial" w:hAnsi="Arial" w:cs="Arial"/>
                <w:sz w:val="22"/>
                <w:szCs w:val="22"/>
              </w:rPr>
            </w:pPr>
          </w:p>
        </w:tc>
        <w:tc>
          <w:tcPr>
            <w:tcW w:w="2871" w:type="dxa"/>
          </w:tcPr>
          <w:p w:rsidR="003D01F5" w:rsidRDefault="000D1D32">
            <w:pPr>
              <w:jc w:val="both"/>
              <w:rPr>
                <w:rFonts w:ascii="Arial" w:eastAsia="Arial" w:hAnsi="Arial" w:cs="Arial"/>
                <w:sz w:val="22"/>
                <w:szCs w:val="22"/>
              </w:rPr>
            </w:pPr>
            <w:r>
              <w:rPr>
                <w:rFonts w:ascii="Arial" w:eastAsia="Arial" w:hAnsi="Arial" w:cs="Arial"/>
                <w:sz w:val="22"/>
                <w:szCs w:val="22"/>
              </w:rPr>
              <w:lastRenderedPageBreak/>
              <w:t xml:space="preserve">Con el fin de establecer de manera clara, precisa y concreta el objeto del proyecto de acuerdo, se propone cambiar la estructura del artículo priorizando la enunciación directa del objeto del proyecto y luego las normas que sustentan la aplicación en el Distrito. </w:t>
            </w:r>
          </w:p>
          <w:p w:rsidR="003D01F5" w:rsidRDefault="003D01F5">
            <w:pPr>
              <w:jc w:val="both"/>
              <w:rPr>
                <w:rFonts w:ascii="Arial" w:eastAsia="Arial" w:hAnsi="Arial" w:cs="Arial"/>
                <w:sz w:val="22"/>
                <w:szCs w:val="22"/>
              </w:rPr>
            </w:pPr>
          </w:p>
        </w:tc>
      </w:tr>
      <w:tr w:rsidR="003D01F5">
        <w:tc>
          <w:tcPr>
            <w:tcW w:w="3100" w:type="dxa"/>
          </w:tcPr>
          <w:p w:rsidR="003D01F5" w:rsidRDefault="000D1D32">
            <w:pPr>
              <w:jc w:val="both"/>
              <w:rPr>
                <w:rFonts w:ascii="Arial" w:eastAsia="Arial" w:hAnsi="Arial" w:cs="Arial"/>
                <w:sz w:val="22"/>
                <w:szCs w:val="22"/>
                <w:highlight w:val="white"/>
              </w:rPr>
            </w:pPr>
            <w:r>
              <w:rPr>
                <w:rFonts w:ascii="Arial" w:eastAsia="Arial" w:hAnsi="Arial" w:cs="Arial"/>
                <w:b/>
                <w:sz w:val="22"/>
                <w:szCs w:val="22"/>
                <w:highlight w:val="white"/>
              </w:rPr>
              <w:lastRenderedPageBreak/>
              <w:t>ARTÍCULO 2. DEFINICIONES.</w:t>
            </w:r>
            <w:r>
              <w:rPr>
                <w:rFonts w:ascii="Arial" w:eastAsia="Arial" w:hAnsi="Arial" w:cs="Arial"/>
                <w:sz w:val="22"/>
                <w:szCs w:val="22"/>
                <w:highlight w:val="white"/>
              </w:rPr>
              <w:t xml:space="preserve"> Para efectos del presente Acuerdo y su reglamentación, se tendrán en cuenta las siguientes definiciones, algunas de ellas dispuestas en la Línea de Política Pública de Prevención del Reclutamiento, Utilización, Uso y Violencia Sexual contra NNA por parte de GAO y GDO del Ministerio de Justicia. </w:t>
            </w:r>
          </w:p>
          <w:p w:rsidR="003D01F5" w:rsidRDefault="003D01F5">
            <w:pPr>
              <w:jc w:val="both"/>
              <w:rPr>
                <w:rFonts w:ascii="Arial" w:eastAsia="Arial" w:hAnsi="Arial" w:cs="Arial"/>
                <w:sz w:val="22"/>
                <w:szCs w:val="22"/>
                <w:highlight w:val="white"/>
              </w:rPr>
            </w:pPr>
          </w:p>
          <w:p w:rsidR="003D01F5" w:rsidRDefault="000D1D32">
            <w:pPr>
              <w:jc w:val="both"/>
              <w:rPr>
                <w:rFonts w:ascii="Arial" w:eastAsia="Arial" w:hAnsi="Arial" w:cs="Arial"/>
                <w:sz w:val="22"/>
                <w:szCs w:val="22"/>
                <w:highlight w:val="white"/>
              </w:rPr>
            </w:pPr>
            <w:r>
              <w:rPr>
                <w:rFonts w:ascii="Arial" w:eastAsia="Arial" w:hAnsi="Arial" w:cs="Arial"/>
                <w:b/>
                <w:sz w:val="22"/>
                <w:szCs w:val="22"/>
                <w:highlight w:val="white"/>
              </w:rPr>
              <w:t>a. Reclutamiento de NNAJ:</w:t>
            </w:r>
            <w:r>
              <w:rPr>
                <w:rFonts w:ascii="Arial" w:eastAsia="Arial" w:hAnsi="Arial" w:cs="Arial"/>
                <w:sz w:val="22"/>
                <w:szCs w:val="22"/>
                <w:highlight w:val="white"/>
              </w:rPr>
              <w:t xml:space="preserve"> Separación física del entorno familiar y comunitario para la participación directa de NNAJ </w:t>
            </w:r>
            <w:r>
              <w:rPr>
                <w:rFonts w:ascii="Arial" w:eastAsia="Arial" w:hAnsi="Arial" w:cs="Arial"/>
                <w:sz w:val="22"/>
                <w:szCs w:val="22"/>
                <w:highlight w:val="white"/>
              </w:rPr>
              <w:lastRenderedPageBreak/>
              <w:t>en actividades bélicas, militares o tácticas, de sustento o cualquier otro rol en relación con los combatientes de los GAO y GDO. En el Auto 251 de 2008, la Corte Constitucional señaló que todo reclutamiento es un acto de carácter coercitivo. El Código Penal Colombiano, en su artículo 162, tipifica esta conducta como el delito de “reclutamiento ilícito”.</w:t>
            </w:r>
          </w:p>
          <w:p w:rsidR="003D01F5" w:rsidRDefault="000D1D32">
            <w:pPr>
              <w:jc w:val="both"/>
              <w:rPr>
                <w:rFonts w:ascii="Arial" w:eastAsia="Arial" w:hAnsi="Arial" w:cs="Arial"/>
                <w:sz w:val="22"/>
                <w:szCs w:val="22"/>
                <w:highlight w:val="white"/>
              </w:rPr>
            </w:pPr>
            <w:r>
              <w:rPr>
                <w:rFonts w:ascii="Arial" w:eastAsia="Arial" w:hAnsi="Arial" w:cs="Arial"/>
                <w:b/>
                <w:sz w:val="22"/>
                <w:szCs w:val="22"/>
                <w:highlight w:val="white"/>
              </w:rPr>
              <w:t>b. Utilización de NNAJ:</w:t>
            </w:r>
            <w:r>
              <w:rPr>
                <w:rFonts w:ascii="Arial" w:eastAsia="Arial" w:hAnsi="Arial" w:cs="Arial"/>
                <w:sz w:val="22"/>
                <w:szCs w:val="22"/>
                <w:highlight w:val="white"/>
              </w:rPr>
              <w:t xml:space="preserve"> Participación indirecta de NNAJ en otras formas de vinculación, sea permanente u ocasional, en los GAO o GDO sin ser separados de su entorno familiar y comunitario, y que están relacionadas directamente con diferentes fines, sean de carácter ilegal o informal.</w:t>
            </w:r>
          </w:p>
          <w:p w:rsidR="003D01F5" w:rsidRDefault="003D01F5">
            <w:pPr>
              <w:jc w:val="both"/>
              <w:rPr>
                <w:rFonts w:ascii="Arial" w:eastAsia="Arial" w:hAnsi="Arial" w:cs="Arial"/>
                <w:sz w:val="22"/>
                <w:szCs w:val="22"/>
                <w:highlight w:val="white"/>
              </w:rPr>
            </w:pPr>
          </w:p>
          <w:p w:rsidR="003D01F5" w:rsidRDefault="000D1D32">
            <w:pPr>
              <w:jc w:val="both"/>
              <w:rPr>
                <w:rFonts w:ascii="Arial" w:eastAsia="Arial" w:hAnsi="Arial" w:cs="Arial"/>
                <w:sz w:val="22"/>
                <w:szCs w:val="22"/>
                <w:highlight w:val="white"/>
              </w:rPr>
            </w:pPr>
            <w:r>
              <w:rPr>
                <w:rFonts w:ascii="Arial" w:eastAsia="Arial" w:hAnsi="Arial" w:cs="Arial"/>
                <w:b/>
                <w:sz w:val="22"/>
                <w:szCs w:val="22"/>
                <w:highlight w:val="white"/>
              </w:rPr>
              <w:t>c. Uso de NNAJ:</w:t>
            </w:r>
            <w:r>
              <w:rPr>
                <w:rFonts w:ascii="Arial" w:eastAsia="Arial" w:hAnsi="Arial" w:cs="Arial"/>
                <w:sz w:val="22"/>
                <w:szCs w:val="22"/>
                <w:highlight w:val="white"/>
              </w:rPr>
              <w:t xml:space="preserve"> Prácticas o comportamientos de quien induzca, facilite, utilice, constriña, promueva o instrumentalice a los NNAJ para que intervengan en cualquier actividad ilegal de los GAO o GDO, recurriendo a cualquier forma de violencia, amenaza, coerción o engaño que conlleve a la vulneración o falta de garantía de sus derechos, con el propósito de obtener provecho económico o cualquier otro beneficio. El Código Penal Colombiano, en su artículo 188 D, tipifica esta conducta como el delito de </w:t>
            </w:r>
            <w:r>
              <w:rPr>
                <w:rFonts w:ascii="Arial" w:eastAsia="Arial" w:hAnsi="Arial" w:cs="Arial"/>
                <w:sz w:val="22"/>
                <w:szCs w:val="22"/>
                <w:highlight w:val="white"/>
              </w:rPr>
              <w:lastRenderedPageBreak/>
              <w:t>“uso de menores de edad para la comisión de delitos”.</w:t>
            </w:r>
          </w:p>
          <w:p w:rsidR="003D01F5" w:rsidRDefault="003D01F5">
            <w:pPr>
              <w:jc w:val="both"/>
              <w:rPr>
                <w:rFonts w:ascii="Arial" w:eastAsia="Arial" w:hAnsi="Arial" w:cs="Arial"/>
                <w:sz w:val="22"/>
                <w:szCs w:val="22"/>
                <w:highlight w:val="white"/>
              </w:rPr>
            </w:pPr>
          </w:p>
          <w:p w:rsidR="003D01F5" w:rsidRDefault="000D1D32">
            <w:pPr>
              <w:jc w:val="both"/>
              <w:rPr>
                <w:rFonts w:ascii="Arial" w:eastAsia="Arial" w:hAnsi="Arial" w:cs="Arial"/>
                <w:sz w:val="22"/>
                <w:szCs w:val="22"/>
                <w:highlight w:val="white"/>
              </w:rPr>
            </w:pPr>
            <w:r>
              <w:rPr>
                <w:rFonts w:ascii="Arial" w:eastAsia="Arial" w:hAnsi="Arial" w:cs="Arial"/>
                <w:b/>
                <w:sz w:val="22"/>
                <w:szCs w:val="22"/>
                <w:highlight w:val="white"/>
              </w:rPr>
              <w:t>d. Violencia sexual contra NNAJ:</w:t>
            </w:r>
            <w:r>
              <w:rPr>
                <w:rFonts w:ascii="Arial" w:eastAsia="Arial" w:hAnsi="Arial" w:cs="Arial"/>
                <w:sz w:val="22"/>
                <w:szCs w:val="22"/>
                <w:highlight w:val="white"/>
              </w:rPr>
              <w:t xml:space="preserve"> En concordancia con el artículo 2° de la Ley 1146 de 2007, es todo acto o comportamiento de tipo sexual ejercido sobre un NNA, utilizando la fuerza o cualquier forma de coerción física, psicológica o emocional, aprovechando las condiciones de indefensión, de desigualdad y las relaciones de poder existentes entre víctima y agresor, particularmente la ejercida por GAO y GDO. </w:t>
            </w:r>
          </w:p>
          <w:p w:rsidR="003D01F5" w:rsidRDefault="003D01F5">
            <w:pPr>
              <w:jc w:val="both"/>
              <w:rPr>
                <w:rFonts w:ascii="Arial" w:eastAsia="Arial" w:hAnsi="Arial" w:cs="Arial"/>
                <w:sz w:val="22"/>
                <w:szCs w:val="22"/>
                <w:highlight w:val="white"/>
              </w:rPr>
            </w:pPr>
          </w:p>
          <w:p w:rsidR="003D01F5" w:rsidRDefault="000D1D32">
            <w:pPr>
              <w:jc w:val="both"/>
              <w:rPr>
                <w:rFonts w:ascii="Arial" w:eastAsia="Arial" w:hAnsi="Arial" w:cs="Arial"/>
                <w:sz w:val="22"/>
                <w:szCs w:val="22"/>
                <w:highlight w:val="white"/>
              </w:rPr>
            </w:pPr>
            <w:r>
              <w:rPr>
                <w:rFonts w:ascii="Arial" w:eastAsia="Arial" w:hAnsi="Arial" w:cs="Arial"/>
                <w:sz w:val="22"/>
                <w:szCs w:val="22"/>
                <w:highlight w:val="white"/>
              </w:rPr>
              <w:t xml:space="preserve">La Corte Constitucional en el Auto 092 de 2008 identifica que la violencia sexual contra jóvenes y niñas reclutadas por los GAO “incluye en forma reiterada y sistemática: (i) la violación, (ii) la planificación reproductiva forzada, (iii) la esclavización y explotación sexual, (iv) la prostitución forzada, (v) el abuso sexual, (vi) la esclavización sexual por parte de los jefes o comandantes, (vii) el embarazo forzado, (viii) el aborto forzado y (ix) el contagio de infecciones de transmisión sexual”. </w:t>
            </w:r>
          </w:p>
          <w:p w:rsidR="003D01F5" w:rsidRDefault="003D01F5">
            <w:pPr>
              <w:jc w:val="both"/>
              <w:rPr>
                <w:rFonts w:ascii="Arial" w:eastAsia="Arial" w:hAnsi="Arial" w:cs="Arial"/>
                <w:sz w:val="22"/>
                <w:szCs w:val="22"/>
                <w:highlight w:val="white"/>
              </w:rPr>
            </w:pPr>
          </w:p>
          <w:p w:rsidR="003D01F5" w:rsidRDefault="000D1D32">
            <w:pPr>
              <w:jc w:val="both"/>
              <w:rPr>
                <w:rFonts w:ascii="Arial" w:eastAsia="Arial" w:hAnsi="Arial" w:cs="Arial"/>
                <w:sz w:val="22"/>
                <w:szCs w:val="22"/>
                <w:highlight w:val="white"/>
              </w:rPr>
            </w:pPr>
            <w:r>
              <w:rPr>
                <w:rFonts w:ascii="Arial" w:eastAsia="Arial" w:hAnsi="Arial" w:cs="Arial"/>
                <w:b/>
                <w:sz w:val="22"/>
                <w:szCs w:val="22"/>
                <w:highlight w:val="white"/>
              </w:rPr>
              <w:t xml:space="preserve">e. Explotación sexual de NNAJ: </w:t>
            </w:r>
            <w:r>
              <w:rPr>
                <w:rFonts w:ascii="Arial" w:eastAsia="Arial" w:hAnsi="Arial" w:cs="Arial"/>
                <w:sz w:val="22"/>
                <w:szCs w:val="22"/>
                <w:highlight w:val="white"/>
              </w:rPr>
              <w:t xml:space="preserve">Comprende el abuso sexual por parte de adultos y la remuneración en metálico o en especie a los NNAJ y a terceros. El NNAJ es tratado como un objeto sexual y una </w:t>
            </w:r>
            <w:r>
              <w:rPr>
                <w:rFonts w:ascii="Arial" w:eastAsia="Arial" w:hAnsi="Arial" w:cs="Arial"/>
                <w:sz w:val="22"/>
                <w:szCs w:val="22"/>
                <w:highlight w:val="white"/>
              </w:rPr>
              <w:lastRenderedPageBreak/>
              <w:t>mercancía. La explotación sexual comercial constituye una forma de coerción y violencia contra esta población. Este delito se encuentra tipificado en el capítulo IV del Código Penal Colombiano.</w:t>
            </w:r>
          </w:p>
          <w:p w:rsidR="003D01F5" w:rsidRDefault="003D01F5">
            <w:pPr>
              <w:jc w:val="both"/>
              <w:rPr>
                <w:rFonts w:ascii="Arial" w:eastAsia="Arial" w:hAnsi="Arial" w:cs="Arial"/>
                <w:b/>
                <w:sz w:val="22"/>
                <w:szCs w:val="22"/>
              </w:rPr>
            </w:pPr>
          </w:p>
        </w:tc>
        <w:tc>
          <w:tcPr>
            <w:tcW w:w="3119" w:type="dxa"/>
          </w:tcPr>
          <w:p w:rsidR="003D01F5" w:rsidRDefault="000D1D32">
            <w:pPr>
              <w:jc w:val="both"/>
              <w:rPr>
                <w:rFonts w:ascii="Arial" w:eastAsia="Arial" w:hAnsi="Arial" w:cs="Arial"/>
                <w:sz w:val="22"/>
                <w:szCs w:val="22"/>
                <w:highlight w:val="white"/>
              </w:rPr>
            </w:pPr>
            <w:r>
              <w:rPr>
                <w:rFonts w:ascii="Arial" w:eastAsia="Arial" w:hAnsi="Arial" w:cs="Arial"/>
                <w:b/>
                <w:sz w:val="22"/>
                <w:szCs w:val="22"/>
                <w:highlight w:val="white"/>
              </w:rPr>
              <w:lastRenderedPageBreak/>
              <w:t>ARTÍCULO 2. DEFINICIONES.</w:t>
            </w:r>
            <w:r>
              <w:rPr>
                <w:rFonts w:ascii="Arial" w:eastAsia="Arial" w:hAnsi="Arial" w:cs="Arial"/>
                <w:sz w:val="22"/>
                <w:szCs w:val="22"/>
                <w:highlight w:val="white"/>
              </w:rPr>
              <w:t xml:space="preserve"> Para efectos del presente Acuerdo y su reglamentación, se tendrán en cuenta las siguientes definiciones, algunas de ellas dispuestas en la Línea de Política Pública de Prevención del Reclutamiento, Utilización, Uso y Violencia Sexual contra NNA por parte de GAO y GDO del Ministerio de Justicia. </w:t>
            </w:r>
          </w:p>
          <w:p w:rsidR="003D01F5" w:rsidRDefault="003D01F5">
            <w:pPr>
              <w:jc w:val="both"/>
              <w:rPr>
                <w:rFonts w:ascii="Arial" w:eastAsia="Arial" w:hAnsi="Arial" w:cs="Arial"/>
                <w:sz w:val="22"/>
                <w:szCs w:val="22"/>
                <w:highlight w:val="white"/>
              </w:rPr>
            </w:pPr>
          </w:p>
          <w:p w:rsidR="003D01F5" w:rsidRDefault="000D1D32">
            <w:pPr>
              <w:jc w:val="both"/>
              <w:rPr>
                <w:rFonts w:ascii="Arial" w:eastAsia="Arial" w:hAnsi="Arial" w:cs="Arial"/>
                <w:sz w:val="22"/>
                <w:szCs w:val="22"/>
                <w:highlight w:val="white"/>
              </w:rPr>
            </w:pPr>
            <w:r>
              <w:rPr>
                <w:rFonts w:ascii="Arial" w:eastAsia="Arial" w:hAnsi="Arial" w:cs="Arial"/>
                <w:b/>
                <w:sz w:val="22"/>
                <w:szCs w:val="22"/>
                <w:highlight w:val="white"/>
              </w:rPr>
              <w:t>a. Reclutamiento de NNAJ:</w:t>
            </w:r>
            <w:r>
              <w:rPr>
                <w:rFonts w:ascii="Arial" w:eastAsia="Arial" w:hAnsi="Arial" w:cs="Arial"/>
                <w:sz w:val="22"/>
                <w:szCs w:val="22"/>
                <w:highlight w:val="white"/>
              </w:rPr>
              <w:t xml:space="preserve"> Separación física del entorno familiar y comunitario para la participación directa de NNAJ </w:t>
            </w:r>
            <w:r>
              <w:rPr>
                <w:rFonts w:ascii="Arial" w:eastAsia="Arial" w:hAnsi="Arial" w:cs="Arial"/>
                <w:sz w:val="22"/>
                <w:szCs w:val="22"/>
                <w:highlight w:val="white"/>
              </w:rPr>
              <w:lastRenderedPageBreak/>
              <w:t>en actividades bélicas, militares o tácticas, de sustento o cualquier otro rol en relación con los combatientes de los GAO y GDO. En el Auto 251 de 2008, la Corte Constitucional señaló que todo reclutamiento es un acto de carácter coercitivo. El Código Penal Colombiano, en su artículo 162, tipifica esta conducta como el delito de “reclutamiento ilícito”.</w:t>
            </w:r>
          </w:p>
          <w:p w:rsidR="003D01F5" w:rsidRDefault="003D01F5">
            <w:pPr>
              <w:jc w:val="both"/>
              <w:rPr>
                <w:rFonts w:ascii="Arial" w:eastAsia="Arial" w:hAnsi="Arial" w:cs="Arial"/>
                <w:sz w:val="22"/>
                <w:szCs w:val="22"/>
                <w:highlight w:val="white"/>
              </w:rPr>
            </w:pPr>
          </w:p>
          <w:p w:rsidR="003D01F5" w:rsidRDefault="000D1D32">
            <w:pPr>
              <w:jc w:val="both"/>
              <w:rPr>
                <w:rFonts w:ascii="Arial" w:eastAsia="Arial" w:hAnsi="Arial" w:cs="Arial"/>
                <w:sz w:val="22"/>
                <w:szCs w:val="22"/>
                <w:highlight w:val="white"/>
              </w:rPr>
            </w:pPr>
            <w:r>
              <w:rPr>
                <w:rFonts w:ascii="Arial" w:eastAsia="Arial" w:hAnsi="Arial" w:cs="Arial"/>
                <w:b/>
                <w:sz w:val="22"/>
                <w:szCs w:val="22"/>
                <w:highlight w:val="white"/>
              </w:rPr>
              <w:t>b. Utilización de NNAJ:</w:t>
            </w:r>
            <w:r>
              <w:rPr>
                <w:rFonts w:ascii="Arial" w:eastAsia="Arial" w:hAnsi="Arial" w:cs="Arial"/>
                <w:sz w:val="22"/>
                <w:szCs w:val="22"/>
                <w:highlight w:val="white"/>
              </w:rPr>
              <w:t xml:space="preserve"> Participación indirecta de NNAJ en otras formas de vinculación, sea permanente u ocasional, en los GAO o GDO sin ser separados de su entorno familiar y comunitario, y que están relacionadas directamente con diferentes fines, sean de carácter ilegal o informal.</w:t>
            </w:r>
          </w:p>
          <w:p w:rsidR="003D01F5" w:rsidRDefault="003D01F5">
            <w:pPr>
              <w:jc w:val="both"/>
              <w:rPr>
                <w:rFonts w:ascii="Arial" w:eastAsia="Arial" w:hAnsi="Arial" w:cs="Arial"/>
                <w:sz w:val="22"/>
                <w:szCs w:val="22"/>
                <w:highlight w:val="white"/>
              </w:rPr>
            </w:pPr>
          </w:p>
          <w:p w:rsidR="003D01F5" w:rsidRDefault="000D1D32">
            <w:pPr>
              <w:jc w:val="both"/>
              <w:rPr>
                <w:rFonts w:ascii="Arial" w:eastAsia="Arial" w:hAnsi="Arial" w:cs="Arial"/>
                <w:sz w:val="22"/>
                <w:szCs w:val="22"/>
                <w:highlight w:val="white"/>
              </w:rPr>
            </w:pPr>
            <w:r>
              <w:rPr>
                <w:rFonts w:ascii="Arial" w:eastAsia="Arial" w:hAnsi="Arial" w:cs="Arial"/>
                <w:b/>
                <w:sz w:val="22"/>
                <w:szCs w:val="22"/>
                <w:highlight w:val="white"/>
              </w:rPr>
              <w:t>c. Uso de NNAJ:</w:t>
            </w:r>
            <w:r>
              <w:rPr>
                <w:rFonts w:ascii="Arial" w:eastAsia="Arial" w:hAnsi="Arial" w:cs="Arial"/>
                <w:sz w:val="22"/>
                <w:szCs w:val="22"/>
                <w:highlight w:val="white"/>
              </w:rPr>
              <w:t xml:space="preserve"> Prácticas o comportamientos de quien induzca, facilite, utilice, constriña, promueva o instrumentalice a los NNAJ para que intervengan en cualquier actividad ilegal de los GAO o GDO, recurriendo a cualquier forma de violencia, amenaza, coerción o engaño que conlleve a la vulneración o falta de garantía de sus derechos, con el propósito de obtener provecho económico o cualquier otro beneficio. El Código Penal Colombiano, en su artículo 188 D, tipifica esta conducta como el delito de </w:t>
            </w:r>
            <w:r>
              <w:rPr>
                <w:rFonts w:ascii="Arial" w:eastAsia="Arial" w:hAnsi="Arial" w:cs="Arial"/>
                <w:sz w:val="22"/>
                <w:szCs w:val="22"/>
                <w:highlight w:val="white"/>
              </w:rPr>
              <w:lastRenderedPageBreak/>
              <w:t>“uso de menores de edad para la comisión de delitos”.</w:t>
            </w:r>
          </w:p>
          <w:p w:rsidR="003D01F5" w:rsidRDefault="003D01F5">
            <w:pPr>
              <w:jc w:val="both"/>
              <w:rPr>
                <w:rFonts w:ascii="Arial" w:eastAsia="Arial" w:hAnsi="Arial" w:cs="Arial"/>
                <w:sz w:val="22"/>
                <w:szCs w:val="22"/>
                <w:highlight w:val="white"/>
              </w:rPr>
            </w:pPr>
          </w:p>
          <w:p w:rsidR="003D01F5" w:rsidRDefault="000D1D32">
            <w:pPr>
              <w:jc w:val="both"/>
              <w:rPr>
                <w:rFonts w:ascii="Arial" w:eastAsia="Arial" w:hAnsi="Arial" w:cs="Arial"/>
                <w:sz w:val="22"/>
                <w:szCs w:val="22"/>
                <w:highlight w:val="white"/>
              </w:rPr>
            </w:pPr>
            <w:r>
              <w:rPr>
                <w:rFonts w:ascii="Arial" w:eastAsia="Arial" w:hAnsi="Arial" w:cs="Arial"/>
                <w:b/>
                <w:sz w:val="22"/>
                <w:szCs w:val="22"/>
                <w:highlight w:val="white"/>
              </w:rPr>
              <w:t>d. Violencia sexual contra NNAJ:</w:t>
            </w:r>
            <w:r>
              <w:rPr>
                <w:rFonts w:ascii="Arial" w:eastAsia="Arial" w:hAnsi="Arial" w:cs="Arial"/>
                <w:sz w:val="22"/>
                <w:szCs w:val="22"/>
                <w:highlight w:val="white"/>
              </w:rPr>
              <w:t xml:space="preserve"> En concordancia con el artículo 2° de la Ley 1146 de 2007, es todo acto o comportamiento de tipo sexual ejercido sobre un NNA, utilizando la fuerza o cualquier forma de coerción física, psicológica o emocional, aprovechando las condiciones de indefensión, de desigualdad y las relaciones de poder existentes entre víctima y agresor, particularmente la ejercida por GAO y GDO. </w:t>
            </w:r>
          </w:p>
          <w:p w:rsidR="003D01F5" w:rsidRDefault="003D01F5">
            <w:pPr>
              <w:jc w:val="both"/>
              <w:rPr>
                <w:rFonts w:ascii="Arial" w:eastAsia="Arial" w:hAnsi="Arial" w:cs="Arial"/>
                <w:sz w:val="22"/>
                <w:szCs w:val="22"/>
                <w:highlight w:val="white"/>
              </w:rPr>
            </w:pPr>
          </w:p>
          <w:p w:rsidR="003D01F5" w:rsidRDefault="000D1D32">
            <w:pPr>
              <w:jc w:val="both"/>
              <w:rPr>
                <w:rFonts w:ascii="Arial" w:eastAsia="Arial" w:hAnsi="Arial" w:cs="Arial"/>
                <w:sz w:val="22"/>
                <w:szCs w:val="22"/>
                <w:highlight w:val="white"/>
              </w:rPr>
            </w:pPr>
            <w:r>
              <w:rPr>
                <w:rFonts w:ascii="Arial" w:eastAsia="Arial" w:hAnsi="Arial" w:cs="Arial"/>
                <w:sz w:val="22"/>
                <w:szCs w:val="22"/>
                <w:highlight w:val="white"/>
              </w:rPr>
              <w:t xml:space="preserve">La Corte Constitucional en el Auto 092 de 2008 identifica que la violencia sexual contra jóvenes y niñas reclutadas por los GAO “incluye en forma reiterada y sistemática: (i) la violación, (ii) la planificación reproductiva forzada, (iii) la esclavización y explotación sexual, (iv) la prostitución forzada, (v) el abuso sexual, (vi) la esclavización sexual por parte de los jefes o comandantes, (vii) el embarazo forzado, (viii) el aborto forzado y (ix) el contagio de infecciones de transmisión sexual”. </w:t>
            </w:r>
          </w:p>
          <w:p w:rsidR="003D01F5" w:rsidRDefault="003D01F5">
            <w:pPr>
              <w:jc w:val="both"/>
              <w:rPr>
                <w:rFonts w:ascii="Arial" w:eastAsia="Arial" w:hAnsi="Arial" w:cs="Arial"/>
                <w:sz w:val="22"/>
                <w:szCs w:val="22"/>
                <w:highlight w:val="white"/>
              </w:rPr>
            </w:pPr>
          </w:p>
          <w:p w:rsidR="003D01F5" w:rsidRDefault="000D1D32">
            <w:pPr>
              <w:jc w:val="both"/>
              <w:rPr>
                <w:rFonts w:ascii="Arial" w:eastAsia="Arial" w:hAnsi="Arial" w:cs="Arial"/>
                <w:sz w:val="22"/>
                <w:szCs w:val="22"/>
                <w:highlight w:val="white"/>
              </w:rPr>
            </w:pPr>
            <w:r>
              <w:rPr>
                <w:rFonts w:ascii="Arial" w:eastAsia="Arial" w:hAnsi="Arial" w:cs="Arial"/>
                <w:b/>
                <w:sz w:val="22"/>
                <w:szCs w:val="22"/>
                <w:highlight w:val="white"/>
              </w:rPr>
              <w:t xml:space="preserve">e. Explotación sexual de NNAJ: </w:t>
            </w:r>
            <w:r>
              <w:rPr>
                <w:rFonts w:ascii="Arial" w:eastAsia="Arial" w:hAnsi="Arial" w:cs="Arial"/>
                <w:sz w:val="22"/>
                <w:szCs w:val="22"/>
                <w:highlight w:val="white"/>
              </w:rPr>
              <w:t xml:space="preserve">Comprende el abuso sexual por parte de adultos y la remuneración en metálico o en especie a los NNAJ y a terceros. El NNAJ es tratado como un objeto sexual y una </w:t>
            </w:r>
            <w:r>
              <w:rPr>
                <w:rFonts w:ascii="Arial" w:eastAsia="Arial" w:hAnsi="Arial" w:cs="Arial"/>
                <w:sz w:val="22"/>
                <w:szCs w:val="22"/>
                <w:highlight w:val="white"/>
              </w:rPr>
              <w:lastRenderedPageBreak/>
              <w:t>mercancía. La explotación sexual comercial constituye una forma de coerción y violencia contra esta población. Este delito se encuentra tipificado en el capítulo IV del Código Penal Colombiano.</w:t>
            </w:r>
          </w:p>
          <w:p w:rsidR="003D01F5" w:rsidRDefault="003D01F5">
            <w:pPr>
              <w:jc w:val="both"/>
              <w:rPr>
                <w:rFonts w:ascii="Arial" w:eastAsia="Arial" w:hAnsi="Arial" w:cs="Arial"/>
                <w:sz w:val="22"/>
                <w:szCs w:val="22"/>
                <w:u w:val="single"/>
              </w:rPr>
            </w:pPr>
          </w:p>
        </w:tc>
        <w:tc>
          <w:tcPr>
            <w:tcW w:w="2871" w:type="dxa"/>
          </w:tcPr>
          <w:p w:rsidR="003D01F5" w:rsidRDefault="000D1D32">
            <w:pPr>
              <w:jc w:val="both"/>
              <w:rPr>
                <w:rFonts w:ascii="Arial" w:eastAsia="Arial" w:hAnsi="Arial" w:cs="Arial"/>
                <w:sz w:val="22"/>
                <w:szCs w:val="22"/>
              </w:rPr>
            </w:pPr>
            <w:r>
              <w:rPr>
                <w:rFonts w:ascii="Arial" w:eastAsia="Arial" w:hAnsi="Arial" w:cs="Arial"/>
                <w:sz w:val="22"/>
                <w:szCs w:val="22"/>
              </w:rPr>
              <w:lastRenderedPageBreak/>
              <w:t xml:space="preserve">No se modifica el artículo. </w:t>
            </w:r>
          </w:p>
        </w:tc>
      </w:tr>
      <w:tr w:rsidR="003D01F5">
        <w:tc>
          <w:tcPr>
            <w:tcW w:w="3100" w:type="dxa"/>
          </w:tcPr>
          <w:p w:rsidR="003D01F5" w:rsidRDefault="000D1D32">
            <w:pPr>
              <w:jc w:val="both"/>
              <w:rPr>
                <w:rFonts w:ascii="Arial" w:eastAsia="Arial" w:hAnsi="Arial" w:cs="Arial"/>
                <w:sz w:val="22"/>
                <w:szCs w:val="22"/>
                <w:highlight w:val="white"/>
              </w:rPr>
            </w:pPr>
            <w:r>
              <w:rPr>
                <w:rFonts w:ascii="Arial" w:eastAsia="Arial" w:hAnsi="Arial" w:cs="Arial"/>
                <w:b/>
                <w:sz w:val="22"/>
                <w:szCs w:val="22"/>
                <w:highlight w:val="white"/>
              </w:rPr>
              <w:lastRenderedPageBreak/>
              <w:t>ARTÍCULO</w:t>
            </w:r>
            <w:r>
              <w:rPr>
                <w:rFonts w:ascii="Arial" w:eastAsia="Arial" w:hAnsi="Arial" w:cs="Arial"/>
                <w:b/>
                <w:sz w:val="22"/>
                <w:szCs w:val="22"/>
              </w:rPr>
              <w:t> </w:t>
            </w:r>
            <w:r>
              <w:rPr>
                <w:rFonts w:ascii="Arial" w:eastAsia="Arial" w:hAnsi="Arial" w:cs="Arial"/>
                <w:b/>
                <w:sz w:val="22"/>
                <w:szCs w:val="22"/>
                <w:highlight w:val="white"/>
              </w:rPr>
              <w:t xml:space="preserve"> 3. ENFOQUES. </w:t>
            </w:r>
            <w:r>
              <w:rPr>
                <w:rFonts w:ascii="Arial" w:eastAsia="Arial" w:hAnsi="Arial" w:cs="Arial"/>
                <w:sz w:val="22"/>
                <w:szCs w:val="22"/>
                <w:highlight w:val="white"/>
              </w:rPr>
              <w:t xml:space="preserve">Los lineamientos promovidos por el presente Acuerdo contarán con los siguientes enfoques, algunos de ellos dispuestos en la Línea de Política Pública de Prevención del Reclutamiento, Utilización, Uso y Violencia Sexual contra NNA por parte de GAO y GDO del Ministerio de Justicia. </w:t>
            </w:r>
          </w:p>
          <w:p w:rsidR="003D01F5" w:rsidRDefault="003D01F5">
            <w:pPr>
              <w:jc w:val="both"/>
              <w:rPr>
                <w:rFonts w:ascii="Arial" w:eastAsia="Arial" w:hAnsi="Arial" w:cs="Arial"/>
                <w:sz w:val="22"/>
                <w:szCs w:val="22"/>
                <w:highlight w:val="white"/>
              </w:rPr>
            </w:pPr>
          </w:p>
          <w:p w:rsidR="003D01F5" w:rsidRDefault="000D1D32">
            <w:pPr>
              <w:jc w:val="both"/>
              <w:rPr>
                <w:rFonts w:ascii="Arial" w:eastAsia="Arial" w:hAnsi="Arial" w:cs="Arial"/>
                <w:sz w:val="22"/>
                <w:szCs w:val="22"/>
                <w:highlight w:val="white"/>
              </w:rPr>
            </w:pPr>
            <w:r>
              <w:rPr>
                <w:rFonts w:ascii="Arial" w:eastAsia="Arial" w:hAnsi="Arial" w:cs="Arial"/>
                <w:b/>
                <w:sz w:val="22"/>
                <w:szCs w:val="22"/>
                <w:highlight w:val="white"/>
              </w:rPr>
              <w:t>a. Acción sin daño:</w:t>
            </w:r>
            <w:r>
              <w:rPr>
                <w:rFonts w:ascii="Arial" w:eastAsia="Arial" w:hAnsi="Arial" w:cs="Arial"/>
                <w:sz w:val="22"/>
                <w:szCs w:val="22"/>
                <w:highlight w:val="white"/>
              </w:rPr>
              <w:t xml:space="preserve"> Conjunto de acciones que previenen la </w:t>
            </w:r>
            <w:proofErr w:type="spellStart"/>
            <w:r>
              <w:rPr>
                <w:rFonts w:ascii="Arial" w:eastAsia="Arial" w:hAnsi="Arial" w:cs="Arial"/>
                <w:sz w:val="22"/>
                <w:szCs w:val="22"/>
                <w:highlight w:val="white"/>
              </w:rPr>
              <w:t>retraumatización</w:t>
            </w:r>
            <w:proofErr w:type="spellEnd"/>
            <w:r>
              <w:rPr>
                <w:rFonts w:ascii="Arial" w:eastAsia="Arial" w:hAnsi="Arial" w:cs="Arial"/>
                <w:sz w:val="22"/>
                <w:szCs w:val="22"/>
                <w:highlight w:val="white"/>
              </w:rPr>
              <w:t xml:space="preserve"> y la </w:t>
            </w:r>
            <w:proofErr w:type="spellStart"/>
            <w:r>
              <w:rPr>
                <w:rFonts w:ascii="Arial" w:eastAsia="Arial" w:hAnsi="Arial" w:cs="Arial"/>
                <w:sz w:val="22"/>
                <w:szCs w:val="22"/>
                <w:highlight w:val="white"/>
              </w:rPr>
              <w:t>revictimización</w:t>
            </w:r>
            <w:proofErr w:type="spellEnd"/>
            <w:r>
              <w:rPr>
                <w:rFonts w:ascii="Arial" w:eastAsia="Arial" w:hAnsi="Arial" w:cs="Arial"/>
                <w:sz w:val="22"/>
                <w:szCs w:val="22"/>
                <w:highlight w:val="white"/>
              </w:rPr>
              <w:t>, cuidando que al NNAJ atendido no se le generen más lesiones emocionales a través de la intervención.</w:t>
            </w:r>
          </w:p>
          <w:p w:rsidR="003D01F5" w:rsidRDefault="003D01F5">
            <w:pPr>
              <w:jc w:val="both"/>
              <w:rPr>
                <w:rFonts w:ascii="Arial" w:eastAsia="Arial" w:hAnsi="Arial" w:cs="Arial"/>
                <w:b/>
                <w:sz w:val="22"/>
                <w:szCs w:val="22"/>
                <w:highlight w:val="white"/>
              </w:rPr>
            </w:pPr>
          </w:p>
          <w:p w:rsidR="003D01F5" w:rsidRDefault="000D1D32">
            <w:pPr>
              <w:jc w:val="both"/>
              <w:rPr>
                <w:rFonts w:ascii="Arial" w:eastAsia="Arial" w:hAnsi="Arial" w:cs="Arial"/>
                <w:sz w:val="22"/>
                <w:szCs w:val="22"/>
                <w:highlight w:val="white"/>
              </w:rPr>
            </w:pPr>
            <w:r>
              <w:rPr>
                <w:rFonts w:ascii="Arial" w:eastAsia="Arial" w:hAnsi="Arial" w:cs="Arial"/>
                <w:b/>
                <w:sz w:val="22"/>
                <w:szCs w:val="22"/>
                <w:highlight w:val="white"/>
              </w:rPr>
              <w:t xml:space="preserve">b. Comunitario: </w:t>
            </w:r>
            <w:r>
              <w:rPr>
                <w:rFonts w:ascii="Arial" w:eastAsia="Arial" w:hAnsi="Arial" w:cs="Arial"/>
                <w:sz w:val="22"/>
                <w:szCs w:val="22"/>
                <w:highlight w:val="white"/>
              </w:rPr>
              <w:t>Está dirigido a reforzar y expandir las redes comunitarias territoriales existentes y alentar la participación sustantiva de las comunidades en la toma de decisiones para el fortalecimiento de la identidad del bienestar colectivo y la prevención del reclutamiento, utilización, usó, violencia y explotación sexual en NNAJ.</w:t>
            </w:r>
            <w:r>
              <w:rPr>
                <w:rFonts w:ascii="Arial" w:eastAsia="Arial" w:hAnsi="Arial" w:cs="Arial"/>
                <w:sz w:val="22"/>
                <w:szCs w:val="22"/>
                <w:highlight w:val="white"/>
              </w:rPr>
              <w:br/>
            </w:r>
          </w:p>
          <w:p w:rsidR="003D01F5" w:rsidRDefault="000D1D32">
            <w:pPr>
              <w:jc w:val="both"/>
              <w:rPr>
                <w:rFonts w:ascii="Arial" w:eastAsia="Arial" w:hAnsi="Arial" w:cs="Arial"/>
                <w:sz w:val="22"/>
                <w:szCs w:val="22"/>
                <w:highlight w:val="white"/>
              </w:rPr>
            </w:pPr>
            <w:r>
              <w:rPr>
                <w:rFonts w:ascii="Arial" w:eastAsia="Arial" w:hAnsi="Arial" w:cs="Arial"/>
                <w:b/>
                <w:sz w:val="22"/>
                <w:szCs w:val="22"/>
                <w:highlight w:val="white"/>
              </w:rPr>
              <w:lastRenderedPageBreak/>
              <w:t>c. Derechos Humanos:</w:t>
            </w:r>
            <w:r>
              <w:rPr>
                <w:rFonts w:ascii="Arial" w:eastAsia="Arial" w:hAnsi="Arial" w:cs="Arial"/>
                <w:sz w:val="22"/>
                <w:szCs w:val="22"/>
                <w:highlight w:val="white"/>
              </w:rPr>
              <w:t xml:space="preserve"> Las actuaciones deberán observar la prevención, protección, promoción, garantía, restablecimiento y el goce efectivo de los derechos de los NNAJ, sin discriminación por razones de sexo, pertenencia étnica, edad, discapacidad, orientación sexual, identidad de género o ser víctima del conflicto armado, entre otras. Los NNAJ son titulares de derechos y, por lo tanto, pueden exigirlos ante otras personas, las instituciones y el Estado.</w:t>
            </w:r>
          </w:p>
          <w:p w:rsidR="003D01F5" w:rsidRDefault="003D01F5">
            <w:pPr>
              <w:jc w:val="both"/>
              <w:rPr>
                <w:rFonts w:ascii="Arial" w:eastAsia="Arial" w:hAnsi="Arial" w:cs="Arial"/>
                <w:sz w:val="22"/>
                <w:szCs w:val="22"/>
                <w:highlight w:val="white"/>
              </w:rPr>
            </w:pPr>
          </w:p>
          <w:p w:rsidR="003D01F5" w:rsidRDefault="000D1D32">
            <w:pPr>
              <w:jc w:val="both"/>
              <w:rPr>
                <w:rFonts w:ascii="Arial" w:eastAsia="Arial" w:hAnsi="Arial" w:cs="Arial"/>
                <w:sz w:val="22"/>
                <w:szCs w:val="22"/>
                <w:highlight w:val="white"/>
              </w:rPr>
            </w:pPr>
            <w:r>
              <w:rPr>
                <w:rFonts w:ascii="Arial" w:eastAsia="Arial" w:hAnsi="Arial" w:cs="Arial"/>
                <w:b/>
                <w:sz w:val="22"/>
                <w:szCs w:val="22"/>
                <w:highlight w:val="white"/>
              </w:rPr>
              <w:t>d. Diferencial:</w:t>
            </w:r>
            <w:r>
              <w:rPr>
                <w:rFonts w:ascii="Arial" w:eastAsia="Arial" w:hAnsi="Arial" w:cs="Arial"/>
                <w:sz w:val="22"/>
                <w:szCs w:val="22"/>
                <w:highlight w:val="white"/>
              </w:rPr>
              <w:t xml:space="preserve"> Reconoce las diversidades, desigualdades e inequidades sociales, culturales y económicas de diferentes grupos humanos en razón de la articulación de categorías y variables como el género, la edad, la etnia, la orientación sexual, la discapacidad, la ubicación en el sector rural o urbano marginal, o estar en situaciones que incrementan las vulnerabilidades como el desplazamiento forzado, entre otros, con el propósito de brindar una adecuada atención basada en las necesidades e intereses particulares y fortalecer el empoderamiento de dichos grupos, así como proteger y garantizar sus derechos humanos.</w:t>
            </w:r>
          </w:p>
          <w:p w:rsidR="003D01F5" w:rsidRDefault="003D01F5">
            <w:pPr>
              <w:jc w:val="both"/>
              <w:rPr>
                <w:rFonts w:ascii="Arial" w:eastAsia="Arial" w:hAnsi="Arial" w:cs="Arial"/>
                <w:sz w:val="22"/>
                <w:szCs w:val="22"/>
                <w:highlight w:val="white"/>
              </w:rPr>
            </w:pPr>
          </w:p>
          <w:p w:rsidR="003D01F5" w:rsidRDefault="000D1D32">
            <w:pPr>
              <w:jc w:val="both"/>
              <w:rPr>
                <w:rFonts w:ascii="Arial" w:eastAsia="Arial" w:hAnsi="Arial" w:cs="Arial"/>
                <w:sz w:val="22"/>
                <w:szCs w:val="22"/>
                <w:highlight w:val="white"/>
              </w:rPr>
            </w:pPr>
            <w:r>
              <w:rPr>
                <w:rFonts w:ascii="Arial" w:eastAsia="Arial" w:hAnsi="Arial" w:cs="Arial"/>
                <w:b/>
                <w:sz w:val="22"/>
                <w:szCs w:val="22"/>
                <w:highlight w:val="white"/>
              </w:rPr>
              <w:t xml:space="preserve">e. </w:t>
            </w:r>
            <w:proofErr w:type="spellStart"/>
            <w:r>
              <w:rPr>
                <w:rFonts w:ascii="Arial" w:eastAsia="Arial" w:hAnsi="Arial" w:cs="Arial"/>
                <w:b/>
                <w:sz w:val="22"/>
                <w:szCs w:val="22"/>
                <w:highlight w:val="white"/>
              </w:rPr>
              <w:t>Interseccionalidad</w:t>
            </w:r>
            <w:proofErr w:type="spellEnd"/>
            <w:r>
              <w:rPr>
                <w:rFonts w:ascii="Arial" w:eastAsia="Arial" w:hAnsi="Arial" w:cs="Arial"/>
                <w:b/>
                <w:sz w:val="22"/>
                <w:szCs w:val="22"/>
                <w:highlight w:val="white"/>
              </w:rPr>
              <w:t>:</w:t>
            </w:r>
            <w:r>
              <w:rPr>
                <w:rFonts w:ascii="Arial" w:eastAsia="Arial" w:hAnsi="Arial" w:cs="Arial"/>
                <w:sz w:val="22"/>
                <w:szCs w:val="22"/>
                <w:highlight w:val="white"/>
              </w:rPr>
              <w:t xml:space="preserve"> Subraya que el género, la </w:t>
            </w:r>
            <w:r>
              <w:rPr>
                <w:rFonts w:ascii="Arial" w:eastAsia="Arial" w:hAnsi="Arial" w:cs="Arial"/>
                <w:sz w:val="22"/>
                <w:szCs w:val="22"/>
                <w:highlight w:val="white"/>
              </w:rPr>
              <w:lastRenderedPageBreak/>
              <w:t>etnia, la cultura, el nivel socioeconómico, la orientación sexual, como otras categorías sociales, están interrelacionadas: en un mismo sujeto social pueden cruzarse diversas formas de discriminación. Así, un NNAJ puede estar trazado por diferentes fuentes estructurales de desigualdad (</w:t>
            </w:r>
            <w:proofErr w:type="gramStart"/>
            <w:r>
              <w:rPr>
                <w:rFonts w:ascii="Arial" w:eastAsia="Arial" w:hAnsi="Arial" w:cs="Arial"/>
                <w:sz w:val="22"/>
                <w:szCs w:val="22"/>
                <w:highlight w:val="white"/>
              </w:rPr>
              <w:t>como</w:t>
            </w:r>
            <w:proofErr w:type="gramEnd"/>
            <w:r>
              <w:rPr>
                <w:rFonts w:ascii="Arial" w:eastAsia="Arial" w:hAnsi="Arial" w:cs="Arial"/>
                <w:sz w:val="22"/>
                <w:szCs w:val="22"/>
                <w:highlight w:val="white"/>
              </w:rPr>
              <w:t xml:space="preserve"> por ejemplo, pertenecer a un grupo étnico, tener una orientación sexual diversa y tener algún grado de discapacidad). </w:t>
            </w:r>
          </w:p>
          <w:p w:rsidR="003D01F5" w:rsidRDefault="003D01F5">
            <w:pPr>
              <w:jc w:val="both"/>
              <w:rPr>
                <w:rFonts w:ascii="Arial" w:eastAsia="Arial" w:hAnsi="Arial" w:cs="Arial"/>
                <w:sz w:val="22"/>
                <w:szCs w:val="22"/>
                <w:highlight w:val="white"/>
              </w:rPr>
            </w:pPr>
          </w:p>
          <w:p w:rsidR="003D01F5" w:rsidRDefault="000D1D32">
            <w:pPr>
              <w:jc w:val="both"/>
              <w:rPr>
                <w:rFonts w:ascii="Arial" w:eastAsia="Arial" w:hAnsi="Arial" w:cs="Arial"/>
                <w:sz w:val="22"/>
                <w:szCs w:val="22"/>
                <w:highlight w:val="white"/>
              </w:rPr>
            </w:pPr>
            <w:r>
              <w:rPr>
                <w:rFonts w:ascii="Arial" w:eastAsia="Arial" w:hAnsi="Arial" w:cs="Arial"/>
                <w:b/>
                <w:sz w:val="22"/>
                <w:szCs w:val="22"/>
                <w:highlight w:val="white"/>
              </w:rPr>
              <w:t>f. Territorial:</w:t>
            </w:r>
            <w:r>
              <w:rPr>
                <w:rFonts w:ascii="Arial" w:eastAsia="Arial" w:hAnsi="Arial" w:cs="Arial"/>
                <w:sz w:val="22"/>
                <w:szCs w:val="22"/>
                <w:highlight w:val="white"/>
              </w:rPr>
              <w:t xml:space="preserve"> Brinda orientación integral y diferenciada, basada en el reconocimiento de relaciones entre las diferentes dimensiones del territorio (poblacional, espacial, económica, social, ambiental e institucional) y de los atributos específicos de cada región o ámbito territorial.</w:t>
            </w:r>
          </w:p>
          <w:p w:rsidR="003D01F5" w:rsidRDefault="003D01F5">
            <w:pPr>
              <w:jc w:val="both"/>
              <w:rPr>
                <w:rFonts w:ascii="Arial" w:eastAsia="Arial" w:hAnsi="Arial" w:cs="Arial"/>
                <w:sz w:val="22"/>
                <w:szCs w:val="22"/>
              </w:rPr>
            </w:pPr>
          </w:p>
        </w:tc>
        <w:tc>
          <w:tcPr>
            <w:tcW w:w="3119" w:type="dxa"/>
          </w:tcPr>
          <w:p w:rsidR="003D01F5" w:rsidRDefault="000D1D32">
            <w:pPr>
              <w:jc w:val="both"/>
              <w:rPr>
                <w:rFonts w:ascii="Arial" w:eastAsia="Arial" w:hAnsi="Arial" w:cs="Arial"/>
                <w:sz w:val="22"/>
                <w:szCs w:val="22"/>
                <w:highlight w:val="white"/>
              </w:rPr>
            </w:pPr>
            <w:r>
              <w:rPr>
                <w:rFonts w:ascii="Arial" w:eastAsia="Arial" w:hAnsi="Arial" w:cs="Arial"/>
                <w:b/>
                <w:sz w:val="22"/>
                <w:szCs w:val="22"/>
                <w:highlight w:val="white"/>
              </w:rPr>
              <w:lastRenderedPageBreak/>
              <w:t>ARTÍCULO</w:t>
            </w:r>
            <w:r>
              <w:rPr>
                <w:rFonts w:ascii="Arial" w:eastAsia="Arial" w:hAnsi="Arial" w:cs="Arial"/>
                <w:b/>
                <w:sz w:val="22"/>
                <w:szCs w:val="22"/>
              </w:rPr>
              <w:t> </w:t>
            </w:r>
            <w:r>
              <w:rPr>
                <w:rFonts w:ascii="Arial" w:eastAsia="Arial" w:hAnsi="Arial" w:cs="Arial"/>
                <w:b/>
                <w:sz w:val="22"/>
                <w:szCs w:val="22"/>
                <w:highlight w:val="white"/>
              </w:rPr>
              <w:t xml:space="preserve"> 3. ENFOQUES. </w:t>
            </w:r>
            <w:r>
              <w:rPr>
                <w:rFonts w:ascii="Arial" w:eastAsia="Arial" w:hAnsi="Arial" w:cs="Arial"/>
                <w:sz w:val="22"/>
                <w:szCs w:val="22"/>
                <w:highlight w:val="white"/>
              </w:rPr>
              <w:t xml:space="preserve">Los lineamientos promovidos por el presente Acuerdo contarán con los siguientes enfoques, algunos de ellos dispuestos en la Línea de Política Pública de Prevención del Reclutamiento, Utilización, Uso y Violencia Sexual contra NNA por parte de GAO y GDO del Ministerio de Justicia. </w:t>
            </w:r>
          </w:p>
          <w:p w:rsidR="003D01F5" w:rsidRDefault="003D01F5">
            <w:pPr>
              <w:jc w:val="both"/>
              <w:rPr>
                <w:rFonts w:ascii="Arial" w:eastAsia="Arial" w:hAnsi="Arial" w:cs="Arial"/>
                <w:sz w:val="22"/>
                <w:szCs w:val="22"/>
                <w:highlight w:val="white"/>
              </w:rPr>
            </w:pPr>
          </w:p>
          <w:p w:rsidR="003D01F5" w:rsidRDefault="000D1D32">
            <w:pPr>
              <w:jc w:val="both"/>
              <w:rPr>
                <w:rFonts w:ascii="Arial" w:eastAsia="Arial" w:hAnsi="Arial" w:cs="Arial"/>
                <w:sz w:val="22"/>
                <w:szCs w:val="22"/>
                <w:highlight w:val="white"/>
              </w:rPr>
            </w:pPr>
            <w:r>
              <w:rPr>
                <w:rFonts w:ascii="Arial" w:eastAsia="Arial" w:hAnsi="Arial" w:cs="Arial"/>
                <w:b/>
                <w:sz w:val="22"/>
                <w:szCs w:val="22"/>
                <w:highlight w:val="white"/>
              </w:rPr>
              <w:t>a. Acción sin daño:</w:t>
            </w:r>
            <w:r>
              <w:rPr>
                <w:rFonts w:ascii="Arial" w:eastAsia="Arial" w:hAnsi="Arial" w:cs="Arial"/>
                <w:sz w:val="22"/>
                <w:szCs w:val="22"/>
                <w:highlight w:val="white"/>
              </w:rPr>
              <w:t xml:space="preserve"> Conjunto de acciones que previenen la </w:t>
            </w:r>
            <w:proofErr w:type="spellStart"/>
            <w:r>
              <w:rPr>
                <w:rFonts w:ascii="Arial" w:eastAsia="Arial" w:hAnsi="Arial" w:cs="Arial"/>
                <w:sz w:val="22"/>
                <w:szCs w:val="22"/>
                <w:highlight w:val="white"/>
              </w:rPr>
              <w:t>retraumatización</w:t>
            </w:r>
            <w:proofErr w:type="spellEnd"/>
            <w:r>
              <w:rPr>
                <w:rFonts w:ascii="Arial" w:eastAsia="Arial" w:hAnsi="Arial" w:cs="Arial"/>
                <w:sz w:val="22"/>
                <w:szCs w:val="22"/>
                <w:highlight w:val="white"/>
              </w:rPr>
              <w:t xml:space="preserve"> y la </w:t>
            </w:r>
            <w:proofErr w:type="spellStart"/>
            <w:r>
              <w:rPr>
                <w:rFonts w:ascii="Arial" w:eastAsia="Arial" w:hAnsi="Arial" w:cs="Arial"/>
                <w:sz w:val="22"/>
                <w:szCs w:val="22"/>
                <w:highlight w:val="white"/>
              </w:rPr>
              <w:t>revictimización</w:t>
            </w:r>
            <w:proofErr w:type="spellEnd"/>
            <w:r>
              <w:rPr>
                <w:rFonts w:ascii="Arial" w:eastAsia="Arial" w:hAnsi="Arial" w:cs="Arial"/>
                <w:sz w:val="22"/>
                <w:szCs w:val="22"/>
                <w:highlight w:val="white"/>
              </w:rPr>
              <w:t>, cuidando que al NNAJ atendido no se le generen más lesiones emocionales a través de la intervención.</w:t>
            </w:r>
          </w:p>
          <w:p w:rsidR="003D01F5" w:rsidRDefault="003D01F5">
            <w:pPr>
              <w:jc w:val="both"/>
              <w:rPr>
                <w:rFonts w:ascii="Arial" w:eastAsia="Arial" w:hAnsi="Arial" w:cs="Arial"/>
                <w:b/>
                <w:sz w:val="22"/>
                <w:szCs w:val="22"/>
                <w:highlight w:val="white"/>
              </w:rPr>
            </w:pPr>
          </w:p>
          <w:p w:rsidR="003D01F5" w:rsidRDefault="000D1D32">
            <w:pPr>
              <w:jc w:val="both"/>
              <w:rPr>
                <w:rFonts w:ascii="Arial" w:eastAsia="Arial" w:hAnsi="Arial" w:cs="Arial"/>
                <w:sz w:val="22"/>
                <w:szCs w:val="22"/>
                <w:highlight w:val="white"/>
              </w:rPr>
            </w:pPr>
            <w:r>
              <w:rPr>
                <w:rFonts w:ascii="Arial" w:eastAsia="Arial" w:hAnsi="Arial" w:cs="Arial"/>
                <w:b/>
                <w:sz w:val="22"/>
                <w:szCs w:val="22"/>
                <w:highlight w:val="white"/>
              </w:rPr>
              <w:t xml:space="preserve">b. Comunitario: </w:t>
            </w:r>
            <w:r>
              <w:rPr>
                <w:rFonts w:ascii="Arial" w:eastAsia="Arial" w:hAnsi="Arial" w:cs="Arial"/>
                <w:sz w:val="22"/>
                <w:szCs w:val="22"/>
                <w:highlight w:val="white"/>
              </w:rPr>
              <w:t>Está dirigido a reforzar y expandir las redes comunitarias territoriales existentes y alentar la participación sustantiva de las comunidades en la toma de decisiones para el fortalecimiento de la identidad del bienestar colectivo y la prevención del reclutamiento, utilización, usó, violencia y explotación sexual en NNAJ.</w:t>
            </w:r>
            <w:r>
              <w:rPr>
                <w:rFonts w:ascii="Arial" w:eastAsia="Arial" w:hAnsi="Arial" w:cs="Arial"/>
                <w:sz w:val="22"/>
                <w:szCs w:val="22"/>
                <w:highlight w:val="white"/>
              </w:rPr>
              <w:br/>
            </w:r>
          </w:p>
          <w:p w:rsidR="003D01F5" w:rsidRDefault="000D1D32">
            <w:pPr>
              <w:jc w:val="both"/>
              <w:rPr>
                <w:rFonts w:ascii="Arial" w:eastAsia="Arial" w:hAnsi="Arial" w:cs="Arial"/>
                <w:sz w:val="22"/>
                <w:szCs w:val="22"/>
                <w:highlight w:val="white"/>
              </w:rPr>
            </w:pPr>
            <w:r>
              <w:rPr>
                <w:rFonts w:ascii="Arial" w:eastAsia="Arial" w:hAnsi="Arial" w:cs="Arial"/>
                <w:b/>
                <w:sz w:val="22"/>
                <w:szCs w:val="22"/>
                <w:highlight w:val="white"/>
              </w:rPr>
              <w:lastRenderedPageBreak/>
              <w:t>c. Derechos Humanos:</w:t>
            </w:r>
            <w:r>
              <w:rPr>
                <w:rFonts w:ascii="Arial" w:eastAsia="Arial" w:hAnsi="Arial" w:cs="Arial"/>
                <w:sz w:val="22"/>
                <w:szCs w:val="22"/>
                <w:highlight w:val="white"/>
              </w:rPr>
              <w:t xml:space="preserve"> Las actuaciones deberán observar la prevención, protección, promoción, garantía, restablecimiento y el goce efectivo de los derechos de los NNAJ, sin discriminación por razones de sexo, pertenencia étnica, edad, discapacidad, orientación sexual, identidad de género o ser víctima del conflicto armado, entre otras. Los NNAJ son titulares de derechos y, por lo tanto, pueden exigirlos ante otras personas, las instituciones y el Estado.</w:t>
            </w:r>
          </w:p>
          <w:p w:rsidR="003D01F5" w:rsidRDefault="003D01F5">
            <w:pPr>
              <w:jc w:val="both"/>
              <w:rPr>
                <w:rFonts w:ascii="Arial" w:eastAsia="Arial" w:hAnsi="Arial" w:cs="Arial"/>
                <w:sz w:val="22"/>
                <w:szCs w:val="22"/>
                <w:highlight w:val="white"/>
              </w:rPr>
            </w:pPr>
          </w:p>
          <w:p w:rsidR="003D01F5" w:rsidRDefault="000D1D32">
            <w:pPr>
              <w:jc w:val="both"/>
              <w:rPr>
                <w:rFonts w:ascii="Arial" w:eastAsia="Arial" w:hAnsi="Arial" w:cs="Arial"/>
                <w:sz w:val="22"/>
                <w:szCs w:val="22"/>
                <w:highlight w:val="white"/>
              </w:rPr>
            </w:pPr>
            <w:r>
              <w:rPr>
                <w:rFonts w:ascii="Arial" w:eastAsia="Arial" w:hAnsi="Arial" w:cs="Arial"/>
                <w:b/>
                <w:sz w:val="22"/>
                <w:szCs w:val="22"/>
                <w:highlight w:val="white"/>
              </w:rPr>
              <w:t>d. Diferencial:</w:t>
            </w:r>
            <w:r>
              <w:rPr>
                <w:rFonts w:ascii="Arial" w:eastAsia="Arial" w:hAnsi="Arial" w:cs="Arial"/>
                <w:sz w:val="22"/>
                <w:szCs w:val="22"/>
                <w:highlight w:val="white"/>
              </w:rPr>
              <w:t xml:space="preserve"> Reconoce las diversidades, desigualdades e inequidades sociales, culturales y económicas de diferentes grupos humanos en razón de la articulación de categorías y variables como el género, la edad, la etnia, la orientación sexual, la discapacidad, la ubicación en el sector rural o urbano marginal, o estar en situaciones que incrementan las vulnerabilidades como el desplazamiento forzado, entre otros, con el propósito de brindar una adecuada atención basada en las necesidades e intereses particulares y fortalecer el empoderamiento de dichos grupos, así como proteger y garantizar sus derechos humanos.</w:t>
            </w:r>
          </w:p>
          <w:p w:rsidR="003D01F5" w:rsidRDefault="003D01F5">
            <w:pPr>
              <w:jc w:val="both"/>
              <w:rPr>
                <w:rFonts w:ascii="Arial" w:eastAsia="Arial" w:hAnsi="Arial" w:cs="Arial"/>
                <w:sz w:val="22"/>
                <w:szCs w:val="22"/>
                <w:highlight w:val="white"/>
              </w:rPr>
            </w:pPr>
          </w:p>
          <w:p w:rsidR="003D01F5" w:rsidRDefault="000D1D32">
            <w:pPr>
              <w:jc w:val="both"/>
              <w:rPr>
                <w:rFonts w:ascii="Arial" w:eastAsia="Arial" w:hAnsi="Arial" w:cs="Arial"/>
                <w:sz w:val="22"/>
                <w:szCs w:val="22"/>
                <w:highlight w:val="white"/>
              </w:rPr>
            </w:pPr>
            <w:r>
              <w:rPr>
                <w:rFonts w:ascii="Arial" w:eastAsia="Arial" w:hAnsi="Arial" w:cs="Arial"/>
                <w:b/>
                <w:sz w:val="22"/>
                <w:szCs w:val="22"/>
                <w:highlight w:val="white"/>
              </w:rPr>
              <w:t xml:space="preserve">e. </w:t>
            </w:r>
            <w:proofErr w:type="spellStart"/>
            <w:r>
              <w:rPr>
                <w:rFonts w:ascii="Arial" w:eastAsia="Arial" w:hAnsi="Arial" w:cs="Arial"/>
                <w:b/>
                <w:sz w:val="22"/>
                <w:szCs w:val="22"/>
                <w:highlight w:val="white"/>
              </w:rPr>
              <w:t>Interseccionalidad</w:t>
            </w:r>
            <w:proofErr w:type="spellEnd"/>
            <w:r>
              <w:rPr>
                <w:rFonts w:ascii="Arial" w:eastAsia="Arial" w:hAnsi="Arial" w:cs="Arial"/>
                <w:b/>
                <w:sz w:val="22"/>
                <w:szCs w:val="22"/>
                <w:highlight w:val="white"/>
              </w:rPr>
              <w:t>:</w:t>
            </w:r>
            <w:r>
              <w:rPr>
                <w:rFonts w:ascii="Arial" w:eastAsia="Arial" w:hAnsi="Arial" w:cs="Arial"/>
                <w:sz w:val="22"/>
                <w:szCs w:val="22"/>
                <w:highlight w:val="white"/>
              </w:rPr>
              <w:t xml:space="preserve"> Subraya que el género, la </w:t>
            </w:r>
            <w:r>
              <w:rPr>
                <w:rFonts w:ascii="Arial" w:eastAsia="Arial" w:hAnsi="Arial" w:cs="Arial"/>
                <w:sz w:val="22"/>
                <w:szCs w:val="22"/>
                <w:highlight w:val="white"/>
              </w:rPr>
              <w:lastRenderedPageBreak/>
              <w:t>etnia, la cultura, el nivel socioeconómico, la orientación sexual, como otras categorías sociales, están interrelacionadas: en un mismo sujeto social pueden cruzarse diversas formas de discriminación. Así, un NNAJ puede estar trazado por diferentes fuentes estructurales de desigualdad (</w:t>
            </w:r>
            <w:proofErr w:type="gramStart"/>
            <w:r>
              <w:rPr>
                <w:rFonts w:ascii="Arial" w:eastAsia="Arial" w:hAnsi="Arial" w:cs="Arial"/>
                <w:sz w:val="22"/>
                <w:szCs w:val="22"/>
                <w:highlight w:val="white"/>
              </w:rPr>
              <w:t>como</w:t>
            </w:r>
            <w:proofErr w:type="gramEnd"/>
            <w:r>
              <w:rPr>
                <w:rFonts w:ascii="Arial" w:eastAsia="Arial" w:hAnsi="Arial" w:cs="Arial"/>
                <w:sz w:val="22"/>
                <w:szCs w:val="22"/>
                <w:highlight w:val="white"/>
              </w:rPr>
              <w:t xml:space="preserve"> por ejemplo, pertenecer a un grupo étnico, tener una orientación sexual diversa y tener algún grado de discapacidad). </w:t>
            </w:r>
          </w:p>
          <w:p w:rsidR="003D01F5" w:rsidRDefault="003D01F5">
            <w:pPr>
              <w:jc w:val="both"/>
              <w:rPr>
                <w:rFonts w:ascii="Arial" w:eastAsia="Arial" w:hAnsi="Arial" w:cs="Arial"/>
                <w:sz w:val="22"/>
                <w:szCs w:val="22"/>
                <w:highlight w:val="white"/>
              </w:rPr>
            </w:pPr>
          </w:p>
          <w:p w:rsidR="003D01F5" w:rsidRDefault="000D1D32">
            <w:pPr>
              <w:jc w:val="both"/>
              <w:rPr>
                <w:rFonts w:ascii="Arial" w:eastAsia="Arial" w:hAnsi="Arial" w:cs="Arial"/>
                <w:sz w:val="22"/>
                <w:szCs w:val="22"/>
                <w:highlight w:val="white"/>
              </w:rPr>
            </w:pPr>
            <w:r>
              <w:rPr>
                <w:rFonts w:ascii="Arial" w:eastAsia="Arial" w:hAnsi="Arial" w:cs="Arial"/>
                <w:b/>
                <w:sz w:val="22"/>
                <w:szCs w:val="22"/>
                <w:highlight w:val="white"/>
              </w:rPr>
              <w:t>f. Territorial:</w:t>
            </w:r>
            <w:r>
              <w:rPr>
                <w:rFonts w:ascii="Arial" w:eastAsia="Arial" w:hAnsi="Arial" w:cs="Arial"/>
                <w:sz w:val="22"/>
                <w:szCs w:val="22"/>
                <w:highlight w:val="white"/>
              </w:rPr>
              <w:t xml:space="preserve"> Brinda orientación integral y diferenciada, basada en el reconocimiento de relaciones entre las diferentes dimensiones del territorio (poblacional, espacial, económica, social, ambiental e institucional) y de los atributos específicos de cada región o ámbito territorial.</w:t>
            </w:r>
          </w:p>
          <w:p w:rsidR="003D01F5" w:rsidRDefault="003D01F5">
            <w:pPr>
              <w:jc w:val="both"/>
              <w:rPr>
                <w:rFonts w:ascii="Arial" w:eastAsia="Arial" w:hAnsi="Arial" w:cs="Arial"/>
                <w:sz w:val="22"/>
                <w:szCs w:val="22"/>
              </w:rPr>
            </w:pPr>
          </w:p>
        </w:tc>
        <w:tc>
          <w:tcPr>
            <w:tcW w:w="2871" w:type="dxa"/>
          </w:tcPr>
          <w:p w:rsidR="003D01F5" w:rsidRDefault="000D1D32">
            <w:pPr>
              <w:jc w:val="both"/>
              <w:rPr>
                <w:rFonts w:ascii="Arial" w:eastAsia="Arial" w:hAnsi="Arial" w:cs="Arial"/>
                <w:sz w:val="22"/>
                <w:szCs w:val="22"/>
              </w:rPr>
            </w:pPr>
            <w:r>
              <w:rPr>
                <w:rFonts w:ascii="Arial" w:eastAsia="Arial" w:hAnsi="Arial" w:cs="Arial"/>
                <w:sz w:val="22"/>
                <w:szCs w:val="22"/>
              </w:rPr>
              <w:lastRenderedPageBreak/>
              <w:t>No se modifica el artículo</w:t>
            </w:r>
          </w:p>
        </w:tc>
      </w:tr>
      <w:tr w:rsidR="003D01F5">
        <w:trPr>
          <w:trHeight w:val="2698"/>
        </w:trPr>
        <w:tc>
          <w:tcPr>
            <w:tcW w:w="3100" w:type="dxa"/>
          </w:tcPr>
          <w:p w:rsidR="003D01F5" w:rsidRDefault="000D1D32">
            <w:pPr>
              <w:jc w:val="both"/>
              <w:rPr>
                <w:rFonts w:ascii="Arial" w:eastAsia="Arial" w:hAnsi="Arial" w:cs="Arial"/>
                <w:sz w:val="22"/>
                <w:szCs w:val="22"/>
                <w:highlight w:val="white"/>
              </w:rPr>
            </w:pPr>
            <w:r>
              <w:rPr>
                <w:rFonts w:ascii="Arial" w:eastAsia="Arial" w:hAnsi="Arial" w:cs="Arial"/>
                <w:b/>
                <w:sz w:val="22"/>
                <w:szCs w:val="22"/>
                <w:highlight w:val="white"/>
              </w:rPr>
              <w:lastRenderedPageBreak/>
              <w:t>ARTÍCULO 4</w:t>
            </w:r>
            <w:r>
              <w:rPr>
                <w:rFonts w:ascii="Arial" w:eastAsia="Arial" w:hAnsi="Arial" w:cs="Arial"/>
                <w:sz w:val="22"/>
                <w:szCs w:val="22"/>
                <w:highlight w:val="white"/>
              </w:rPr>
              <w:t xml:space="preserve">. </w:t>
            </w:r>
            <w:r>
              <w:rPr>
                <w:rFonts w:ascii="Arial" w:eastAsia="Arial" w:hAnsi="Arial" w:cs="Arial"/>
                <w:b/>
                <w:sz w:val="22"/>
                <w:szCs w:val="22"/>
                <w:highlight w:val="white"/>
              </w:rPr>
              <w:t>COMPETENCIA.</w:t>
            </w:r>
            <w:r>
              <w:rPr>
                <w:rFonts w:ascii="Arial" w:eastAsia="Arial" w:hAnsi="Arial" w:cs="Arial"/>
                <w:sz w:val="22"/>
                <w:szCs w:val="22"/>
                <w:highlight w:val="white"/>
              </w:rPr>
              <w:t xml:space="preserve"> La Administración Distrital, en cabeza de las entidades competentes, </w:t>
            </w:r>
            <w:proofErr w:type="gramStart"/>
            <w:r>
              <w:rPr>
                <w:rFonts w:ascii="Arial" w:eastAsia="Arial" w:hAnsi="Arial" w:cs="Arial"/>
                <w:sz w:val="22"/>
                <w:szCs w:val="22"/>
                <w:highlight w:val="white"/>
              </w:rPr>
              <w:t>y  en</w:t>
            </w:r>
            <w:proofErr w:type="gramEnd"/>
            <w:r>
              <w:rPr>
                <w:rFonts w:ascii="Arial" w:eastAsia="Arial" w:hAnsi="Arial" w:cs="Arial"/>
                <w:sz w:val="22"/>
                <w:szCs w:val="22"/>
                <w:highlight w:val="white"/>
              </w:rPr>
              <w:t xml:space="preserve"> coordinación con autoridades locales, organismos internacionales, organizaciones sociales y comunidades, implementará los lineamientos establecidos en este Acuerdo.</w:t>
            </w:r>
          </w:p>
          <w:p w:rsidR="003D01F5" w:rsidRDefault="003D01F5">
            <w:pPr>
              <w:jc w:val="both"/>
              <w:rPr>
                <w:rFonts w:ascii="Arial" w:eastAsia="Arial" w:hAnsi="Arial" w:cs="Arial"/>
                <w:sz w:val="22"/>
                <w:szCs w:val="22"/>
                <w:highlight w:val="white"/>
              </w:rPr>
            </w:pPr>
          </w:p>
          <w:p w:rsidR="003D01F5" w:rsidRDefault="000D1D32">
            <w:pPr>
              <w:jc w:val="both"/>
              <w:rPr>
                <w:rFonts w:ascii="Arial" w:eastAsia="Arial" w:hAnsi="Arial" w:cs="Arial"/>
                <w:sz w:val="22"/>
                <w:szCs w:val="22"/>
              </w:rPr>
            </w:pPr>
            <w:r>
              <w:rPr>
                <w:rFonts w:ascii="Arial" w:eastAsia="Arial" w:hAnsi="Arial" w:cs="Arial"/>
                <w:b/>
                <w:sz w:val="22"/>
                <w:szCs w:val="22"/>
                <w:highlight w:val="white"/>
              </w:rPr>
              <w:t xml:space="preserve">PARÁGRAFO. </w:t>
            </w:r>
            <w:r>
              <w:rPr>
                <w:rFonts w:ascii="Arial" w:eastAsia="Arial" w:hAnsi="Arial" w:cs="Arial"/>
                <w:sz w:val="22"/>
                <w:szCs w:val="22"/>
                <w:highlight w:val="white"/>
              </w:rPr>
              <w:t xml:space="preserve">Se propenderá por articular todos los lineamientos y acciones, por lo menos con: </w:t>
            </w:r>
            <w:r>
              <w:rPr>
                <w:rFonts w:ascii="Arial" w:eastAsia="Arial" w:hAnsi="Arial" w:cs="Arial"/>
                <w:sz w:val="22"/>
                <w:szCs w:val="22"/>
                <w:highlight w:val="white"/>
              </w:rPr>
              <w:lastRenderedPageBreak/>
              <w:t>la Dirección de Derechos Humanos de la Secretaría Distrital de Gobierno; la</w:t>
            </w:r>
            <w:r>
              <w:rPr>
                <w:rFonts w:ascii="Arial" w:eastAsia="Arial" w:hAnsi="Arial" w:cs="Arial"/>
                <w:sz w:val="22"/>
                <w:szCs w:val="22"/>
              </w:rPr>
              <w:t xml:space="preserve"> Comisión Intersectorial de Acción Integral en Seguridad, Convivencia y Acceso a la Justicia; el Consejo Consultivo Distrital de Niños, Niñas y Adolescentes; el Consejo Distrital de Juventud; la Mesa de Prevención del Reclutamiento, Uso y Utilización de Niños, Niñas y Adolescentes; y el Instituto Colombiano de Bienestar Familiar (ICBF).</w:t>
            </w:r>
          </w:p>
          <w:p w:rsidR="003D01F5" w:rsidRDefault="003D01F5">
            <w:pPr>
              <w:jc w:val="both"/>
              <w:rPr>
                <w:rFonts w:ascii="Arial" w:eastAsia="Arial" w:hAnsi="Arial" w:cs="Arial"/>
                <w:sz w:val="22"/>
                <w:szCs w:val="22"/>
              </w:rPr>
            </w:pPr>
          </w:p>
          <w:p w:rsidR="003D01F5" w:rsidRDefault="003D01F5">
            <w:pPr>
              <w:jc w:val="both"/>
              <w:rPr>
                <w:rFonts w:ascii="Arial" w:eastAsia="Arial" w:hAnsi="Arial" w:cs="Arial"/>
                <w:sz w:val="22"/>
                <w:szCs w:val="22"/>
              </w:rPr>
            </w:pPr>
          </w:p>
        </w:tc>
        <w:tc>
          <w:tcPr>
            <w:tcW w:w="3119" w:type="dxa"/>
          </w:tcPr>
          <w:p w:rsidR="003D01F5" w:rsidRDefault="000D1D32">
            <w:pPr>
              <w:jc w:val="both"/>
              <w:rPr>
                <w:rFonts w:ascii="Arial" w:eastAsia="Arial" w:hAnsi="Arial" w:cs="Arial"/>
                <w:sz w:val="22"/>
                <w:szCs w:val="22"/>
                <w:highlight w:val="white"/>
              </w:rPr>
            </w:pPr>
            <w:r>
              <w:rPr>
                <w:rFonts w:ascii="Arial" w:eastAsia="Arial" w:hAnsi="Arial" w:cs="Arial"/>
                <w:b/>
                <w:sz w:val="22"/>
                <w:szCs w:val="22"/>
                <w:highlight w:val="white"/>
              </w:rPr>
              <w:lastRenderedPageBreak/>
              <w:t>ARTÍCULO 4</w:t>
            </w:r>
            <w:r>
              <w:rPr>
                <w:rFonts w:ascii="Arial" w:eastAsia="Arial" w:hAnsi="Arial" w:cs="Arial"/>
                <w:sz w:val="22"/>
                <w:szCs w:val="22"/>
                <w:highlight w:val="white"/>
              </w:rPr>
              <w:t xml:space="preserve">. </w:t>
            </w:r>
            <w:r>
              <w:rPr>
                <w:rFonts w:ascii="Arial" w:eastAsia="Arial" w:hAnsi="Arial" w:cs="Arial"/>
                <w:b/>
                <w:sz w:val="22"/>
                <w:szCs w:val="22"/>
                <w:highlight w:val="white"/>
              </w:rPr>
              <w:t>COMPETENCIA.</w:t>
            </w:r>
            <w:r>
              <w:rPr>
                <w:rFonts w:ascii="Arial" w:eastAsia="Arial" w:hAnsi="Arial" w:cs="Arial"/>
                <w:sz w:val="22"/>
                <w:szCs w:val="22"/>
                <w:highlight w:val="white"/>
              </w:rPr>
              <w:t xml:space="preserve"> La Administración Distrital, en cabeza de las entidades competentes, </w:t>
            </w:r>
            <w:proofErr w:type="gramStart"/>
            <w:r>
              <w:rPr>
                <w:rFonts w:ascii="Arial" w:eastAsia="Arial" w:hAnsi="Arial" w:cs="Arial"/>
                <w:sz w:val="22"/>
                <w:szCs w:val="22"/>
                <w:highlight w:val="white"/>
              </w:rPr>
              <w:t>y  en</w:t>
            </w:r>
            <w:proofErr w:type="gramEnd"/>
            <w:r>
              <w:rPr>
                <w:rFonts w:ascii="Arial" w:eastAsia="Arial" w:hAnsi="Arial" w:cs="Arial"/>
                <w:sz w:val="22"/>
                <w:szCs w:val="22"/>
                <w:highlight w:val="white"/>
              </w:rPr>
              <w:t xml:space="preserve"> coordinación con autoridades locales, organismos internacionales, organizaciones sociales y comunidades, implementará los lineamientos establecidos en este Acuerdo.</w:t>
            </w:r>
          </w:p>
          <w:p w:rsidR="003D01F5" w:rsidRDefault="003D01F5">
            <w:pPr>
              <w:jc w:val="both"/>
              <w:rPr>
                <w:rFonts w:ascii="Arial" w:eastAsia="Arial" w:hAnsi="Arial" w:cs="Arial"/>
                <w:sz w:val="22"/>
                <w:szCs w:val="22"/>
                <w:highlight w:val="white"/>
              </w:rPr>
            </w:pPr>
          </w:p>
          <w:p w:rsidR="003D01F5" w:rsidRDefault="000D1D32">
            <w:pPr>
              <w:jc w:val="both"/>
              <w:rPr>
                <w:rFonts w:ascii="Arial" w:eastAsia="Arial" w:hAnsi="Arial" w:cs="Arial"/>
                <w:sz w:val="22"/>
                <w:szCs w:val="22"/>
              </w:rPr>
            </w:pPr>
            <w:r>
              <w:rPr>
                <w:rFonts w:ascii="Arial" w:eastAsia="Arial" w:hAnsi="Arial" w:cs="Arial"/>
                <w:b/>
                <w:sz w:val="22"/>
                <w:szCs w:val="22"/>
                <w:highlight w:val="white"/>
              </w:rPr>
              <w:t xml:space="preserve">PARÁGRAFO. </w:t>
            </w:r>
            <w:r>
              <w:rPr>
                <w:rFonts w:ascii="Arial" w:eastAsia="Arial" w:hAnsi="Arial" w:cs="Arial"/>
                <w:sz w:val="22"/>
                <w:szCs w:val="22"/>
                <w:highlight w:val="white"/>
              </w:rPr>
              <w:t xml:space="preserve">Se propenderá por articular todos los lineamientos y acciones, por lo menos con: la Dirección </w:t>
            </w:r>
            <w:r>
              <w:rPr>
                <w:rFonts w:ascii="Arial" w:eastAsia="Arial" w:hAnsi="Arial" w:cs="Arial"/>
                <w:sz w:val="22"/>
                <w:szCs w:val="22"/>
                <w:highlight w:val="white"/>
              </w:rPr>
              <w:lastRenderedPageBreak/>
              <w:t>de Derechos Humanos de la Secretaría Distrital de Gobierno; la</w:t>
            </w:r>
            <w:r>
              <w:rPr>
                <w:rFonts w:ascii="Arial" w:eastAsia="Arial" w:hAnsi="Arial" w:cs="Arial"/>
                <w:sz w:val="22"/>
                <w:szCs w:val="22"/>
              </w:rPr>
              <w:t xml:space="preserve"> Comisión Intersectorial de Acción Integral en Seguridad, Convivencia y Acceso a la Justicia; el Consejo Consultivo Distrital de Niños, Niñas y Adolescentes; el Consejo Distrital de Juventud; la Mesa de Prevención del Reclutamiento, Uso y Utilización de Niños, Niñas y Adolescentes; y el Instituto Colombiano de Bienestar Familiar (ICBF).</w:t>
            </w:r>
          </w:p>
          <w:p w:rsidR="003D01F5" w:rsidRDefault="003D01F5">
            <w:pPr>
              <w:jc w:val="both"/>
              <w:rPr>
                <w:rFonts w:ascii="Arial" w:eastAsia="Arial" w:hAnsi="Arial" w:cs="Arial"/>
                <w:sz w:val="22"/>
                <w:szCs w:val="22"/>
              </w:rPr>
            </w:pPr>
          </w:p>
          <w:p w:rsidR="003D01F5" w:rsidRDefault="003D01F5">
            <w:pPr>
              <w:jc w:val="both"/>
              <w:rPr>
                <w:rFonts w:ascii="Arial" w:eastAsia="Arial" w:hAnsi="Arial" w:cs="Arial"/>
                <w:sz w:val="22"/>
                <w:szCs w:val="22"/>
              </w:rPr>
            </w:pPr>
          </w:p>
        </w:tc>
        <w:tc>
          <w:tcPr>
            <w:tcW w:w="2871" w:type="dxa"/>
          </w:tcPr>
          <w:p w:rsidR="003D01F5" w:rsidRDefault="000D1D32">
            <w:pPr>
              <w:jc w:val="both"/>
              <w:rPr>
                <w:rFonts w:ascii="Arial" w:eastAsia="Arial" w:hAnsi="Arial" w:cs="Arial"/>
                <w:sz w:val="22"/>
                <w:szCs w:val="22"/>
              </w:rPr>
            </w:pPr>
            <w:r>
              <w:rPr>
                <w:rFonts w:ascii="Arial" w:eastAsia="Arial" w:hAnsi="Arial" w:cs="Arial"/>
                <w:sz w:val="22"/>
                <w:szCs w:val="22"/>
              </w:rPr>
              <w:lastRenderedPageBreak/>
              <w:t>No se modifica el artículo.</w:t>
            </w:r>
          </w:p>
        </w:tc>
      </w:tr>
      <w:tr w:rsidR="003D01F5">
        <w:tc>
          <w:tcPr>
            <w:tcW w:w="3100" w:type="dxa"/>
          </w:tcPr>
          <w:p w:rsidR="003D01F5" w:rsidRDefault="000D1D32">
            <w:pPr>
              <w:jc w:val="both"/>
              <w:rPr>
                <w:rFonts w:ascii="Arial" w:eastAsia="Arial" w:hAnsi="Arial" w:cs="Arial"/>
                <w:sz w:val="22"/>
                <w:szCs w:val="22"/>
                <w:highlight w:val="white"/>
              </w:rPr>
            </w:pPr>
            <w:r>
              <w:rPr>
                <w:rFonts w:ascii="Arial" w:eastAsia="Arial" w:hAnsi="Arial" w:cs="Arial"/>
                <w:b/>
                <w:sz w:val="22"/>
                <w:szCs w:val="22"/>
              </w:rPr>
              <w:lastRenderedPageBreak/>
              <w:t>ARTÍCULO 5. LINEAMIENTOS.</w:t>
            </w:r>
            <w:r>
              <w:rPr>
                <w:rFonts w:ascii="Arial" w:eastAsia="Arial" w:hAnsi="Arial" w:cs="Arial"/>
                <w:sz w:val="22"/>
                <w:szCs w:val="22"/>
              </w:rPr>
              <w:t xml:space="preserve"> Las acciones </w:t>
            </w:r>
            <w:r>
              <w:rPr>
                <w:rFonts w:ascii="Arial" w:eastAsia="Arial" w:hAnsi="Arial" w:cs="Arial"/>
                <w:sz w:val="22"/>
                <w:szCs w:val="22"/>
                <w:highlight w:val="white"/>
              </w:rPr>
              <w:t>de prevención del reclutamiento, utilización, usó, violencia y explotación sexual en contra de NNAJ, se basarán en los lineamientos que se describen en los artículos siguientes.</w:t>
            </w:r>
          </w:p>
          <w:p w:rsidR="003D01F5" w:rsidRDefault="003D01F5">
            <w:pPr>
              <w:jc w:val="both"/>
              <w:rPr>
                <w:rFonts w:ascii="Arial" w:eastAsia="Arial" w:hAnsi="Arial" w:cs="Arial"/>
                <w:sz w:val="22"/>
                <w:szCs w:val="22"/>
              </w:rPr>
            </w:pPr>
          </w:p>
        </w:tc>
        <w:tc>
          <w:tcPr>
            <w:tcW w:w="3119" w:type="dxa"/>
          </w:tcPr>
          <w:p w:rsidR="003D01F5" w:rsidRDefault="000D1D32">
            <w:pPr>
              <w:jc w:val="both"/>
              <w:rPr>
                <w:rFonts w:ascii="Arial" w:eastAsia="Arial" w:hAnsi="Arial" w:cs="Arial"/>
                <w:sz w:val="22"/>
                <w:szCs w:val="22"/>
                <w:highlight w:val="white"/>
              </w:rPr>
            </w:pPr>
            <w:r>
              <w:rPr>
                <w:rFonts w:ascii="Arial" w:eastAsia="Arial" w:hAnsi="Arial" w:cs="Arial"/>
                <w:b/>
                <w:sz w:val="22"/>
                <w:szCs w:val="22"/>
              </w:rPr>
              <w:t>ARTÍCULO 5. LINEAMIENTOS.</w:t>
            </w:r>
            <w:r>
              <w:rPr>
                <w:rFonts w:ascii="Arial" w:eastAsia="Arial" w:hAnsi="Arial" w:cs="Arial"/>
                <w:sz w:val="22"/>
                <w:szCs w:val="22"/>
              </w:rPr>
              <w:t xml:space="preserve"> Las acciones </w:t>
            </w:r>
            <w:r>
              <w:rPr>
                <w:rFonts w:ascii="Arial" w:eastAsia="Arial" w:hAnsi="Arial" w:cs="Arial"/>
                <w:sz w:val="22"/>
                <w:szCs w:val="22"/>
                <w:highlight w:val="white"/>
              </w:rPr>
              <w:t>de prevención del reclutamiento, utilización, usó, violencia y explotación sexual en contra de NNAJ, se basarán en los lineamientos que se describen en los artículos siguientes.</w:t>
            </w:r>
          </w:p>
          <w:p w:rsidR="003D01F5" w:rsidRDefault="003D01F5">
            <w:pPr>
              <w:jc w:val="both"/>
              <w:rPr>
                <w:rFonts w:ascii="Arial" w:eastAsia="Arial" w:hAnsi="Arial" w:cs="Arial"/>
                <w:b/>
                <w:sz w:val="22"/>
                <w:szCs w:val="22"/>
              </w:rPr>
            </w:pPr>
          </w:p>
        </w:tc>
        <w:tc>
          <w:tcPr>
            <w:tcW w:w="2871" w:type="dxa"/>
          </w:tcPr>
          <w:p w:rsidR="003D01F5" w:rsidRDefault="000D1D32">
            <w:pPr>
              <w:jc w:val="both"/>
              <w:rPr>
                <w:rFonts w:ascii="Arial" w:eastAsia="Arial" w:hAnsi="Arial" w:cs="Arial"/>
                <w:sz w:val="22"/>
                <w:szCs w:val="22"/>
              </w:rPr>
            </w:pPr>
            <w:r>
              <w:rPr>
                <w:rFonts w:ascii="Arial" w:eastAsia="Arial" w:hAnsi="Arial" w:cs="Arial"/>
                <w:sz w:val="22"/>
                <w:szCs w:val="22"/>
              </w:rPr>
              <w:t>No se modifica el artículo.</w:t>
            </w:r>
          </w:p>
        </w:tc>
      </w:tr>
      <w:tr w:rsidR="003D01F5">
        <w:trPr>
          <w:trHeight w:val="402"/>
        </w:trPr>
        <w:tc>
          <w:tcPr>
            <w:tcW w:w="3100" w:type="dxa"/>
          </w:tcPr>
          <w:p w:rsidR="003D01F5" w:rsidRDefault="003D01F5">
            <w:pPr>
              <w:jc w:val="both"/>
              <w:rPr>
                <w:rFonts w:ascii="Arial" w:eastAsia="Arial" w:hAnsi="Arial" w:cs="Arial"/>
                <w:sz w:val="22"/>
                <w:szCs w:val="22"/>
                <w:highlight w:val="white"/>
              </w:rPr>
            </w:pPr>
          </w:p>
          <w:p w:rsidR="003D01F5" w:rsidRDefault="000D1D32">
            <w:pPr>
              <w:jc w:val="both"/>
              <w:rPr>
                <w:rFonts w:ascii="Arial" w:eastAsia="Arial" w:hAnsi="Arial" w:cs="Arial"/>
                <w:sz w:val="22"/>
                <w:szCs w:val="22"/>
              </w:rPr>
            </w:pPr>
            <w:r>
              <w:rPr>
                <w:rFonts w:ascii="Arial" w:eastAsia="Arial" w:hAnsi="Arial" w:cs="Arial"/>
                <w:b/>
                <w:sz w:val="22"/>
                <w:szCs w:val="22"/>
              </w:rPr>
              <w:t>ARTÍCULO 6. PROTOCOLO.</w:t>
            </w:r>
            <w:r>
              <w:rPr>
                <w:rFonts w:ascii="Arial" w:eastAsia="Arial" w:hAnsi="Arial" w:cs="Arial"/>
                <w:sz w:val="22"/>
                <w:szCs w:val="22"/>
              </w:rPr>
              <w:t xml:space="preserve"> La Administración Distrital creará un protocolo de identificación y actuación específico para abordar de forma integral los factores de riesgo que indiquen amenaza de reclutamiento, utilización, uso, violencia y explotación sexual para los NNAJ, para la prevención de este fenómeno.</w:t>
            </w:r>
            <w:r>
              <w:rPr>
                <w:rFonts w:ascii="Arial" w:eastAsia="Arial" w:hAnsi="Arial" w:cs="Arial"/>
                <w:sz w:val="22"/>
                <w:szCs w:val="22"/>
              </w:rPr>
              <w:br/>
            </w:r>
          </w:p>
          <w:p w:rsidR="003D01F5" w:rsidRDefault="000D1D32">
            <w:pPr>
              <w:jc w:val="both"/>
              <w:rPr>
                <w:rFonts w:ascii="Arial" w:eastAsia="Arial" w:hAnsi="Arial" w:cs="Arial"/>
                <w:sz w:val="22"/>
                <w:szCs w:val="22"/>
              </w:rPr>
            </w:pPr>
            <w:r>
              <w:rPr>
                <w:rFonts w:ascii="Arial" w:eastAsia="Arial" w:hAnsi="Arial" w:cs="Arial"/>
                <w:sz w:val="22"/>
                <w:szCs w:val="22"/>
              </w:rPr>
              <w:t>El protocolo desarrollará, entre otras, las siguientes acciones:</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b/>
                <w:sz w:val="22"/>
                <w:szCs w:val="22"/>
              </w:rPr>
              <w:t xml:space="preserve">a. </w:t>
            </w:r>
            <w:r>
              <w:rPr>
                <w:rFonts w:ascii="Arial" w:eastAsia="Arial" w:hAnsi="Arial" w:cs="Arial"/>
                <w:sz w:val="22"/>
                <w:szCs w:val="22"/>
              </w:rPr>
              <w:t xml:space="preserve">Promover la identificación de factores de riesgos asociados a dinámicas de reclutamiento, utilización, usó, </w:t>
            </w:r>
            <w:r>
              <w:rPr>
                <w:rFonts w:ascii="Arial" w:eastAsia="Arial" w:hAnsi="Arial" w:cs="Arial"/>
                <w:sz w:val="22"/>
                <w:szCs w:val="22"/>
                <w:highlight w:val="white"/>
              </w:rPr>
              <w:t xml:space="preserve">violencia y explotación sexual </w:t>
            </w:r>
            <w:r>
              <w:rPr>
                <w:rFonts w:ascii="Arial" w:eastAsia="Arial" w:hAnsi="Arial" w:cs="Arial"/>
                <w:sz w:val="22"/>
                <w:szCs w:val="22"/>
              </w:rPr>
              <w:t>en los NNAJ en los distintos entornos donde se desarrollan.</w:t>
            </w:r>
          </w:p>
          <w:p w:rsidR="003D01F5" w:rsidRDefault="000D1D32">
            <w:pPr>
              <w:jc w:val="both"/>
              <w:rPr>
                <w:rFonts w:ascii="Arial" w:eastAsia="Arial" w:hAnsi="Arial" w:cs="Arial"/>
                <w:b/>
                <w:sz w:val="22"/>
                <w:szCs w:val="22"/>
              </w:rPr>
            </w:pPr>
            <w:r>
              <w:rPr>
                <w:rFonts w:ascii="Arial" w:eastAsia="Arial" w:hAnsi="Arial" w:cs="Arial"/>
                <w:b/>
                <w:sz w:val="22"/>
                <w:szCs w:val="22"/>
              </w:rPr>
              <w:t xml:space="preserve">b. </w:t>
            </w:r>
            <w:r>
              <w:rPr>
                <w:rFonts w:ascii="Arial" w:eastAsia="Arial" w:hAnsi="Arial" w:cs="Arial"/>
                <w:sz w:val="22"/>
                <w:szCs w:val="22"/>
              </w:rPr>
              <w:t xml:space="preserve">Articular acciones con los sistemas de alertas tempranas distritales y nacionales para brindar y recibir información tendiente a prevenir y abordar el reclutamiento, utilización, usó, </w:t>
            </w:r>
            <w:r>
              <w:rPr>
                <w:rFonts w:ascii="Arial" w:eastAsia="Arial" w:hAnsi="Arial" w:cs="Arial"/>
                <w:sz w:val="22"/>
                <w:szCs w:val="22"/>
                <w:highlight w:val="white"/>
              </w:rPr>
              <w:t xml:space="preserve">violencia y explotación sexual </w:t>
            </w:r>
            <w:r>
              <w:rPr>
                <w:rFonts w:ascii="Arial" w:eastAsia="Arial" w:hAnsi="Arial" w:cs="Arial"/>
                <w:sz w:val="22"/>
                <w:szCs w:val="22"/>
              </w:rPr>
              <w:t>en los NNAJ.</w:t>
            </w:r>
          </w:p>
          <w:p w:rsidR="003D01F5" w:rsidRDefault="000D1D32">
            <w:pPr>
              <w:jc w:val="both"/>
              <w:rPr>
                <w:rFonts w:ascii="Arial" w:eastAsia="Arial" w:hAnsi="Arial" w:cs="Arial"/>
                <w:sz w:val="22"/>
                <w:szCs w:val="22"/>
              </w:rPr>
            </w:pPr>
            <w:r>
              <w:rPr>
                <w:rFonts w:ascii="Arial" w:eastAsia="Arial" w:hAnsi="Arial" w:cs="Arial"/>
                <w:b/>
                <w:sz w:val="22"/>
                <w:szCs w:val="22"/>
              </w:rPr>
              <w:t xml:space="preserve">c. </w:t>
            </w:r>
            <w:r>
              <w:rPr>
                <w:rFonts w:ascii="Arial" w:eastAsia="Arial" w:hAnsi="Arial" w:cs="Arial"/>
                <w:sz w:val="22"/>
                <w:szCs w:val="22"/>
              </w:rPr>
              <w:t xml:space="preserve">Diseñar e incluir rutas de promoción y atención intersectorial para la protección inmediata de NNAJ en riesgo y situación de vulnerabilidad. Esto, a través de los programas distritales que ya brinden atención integral a NNAJ en Bogotá D.C. </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b/>
                <w:sz w:val="22"/>
                <w:szCs w:val="22"/>
              </w:rPr>
              <w:t xml:space="preserve">PARÁGRAFO PRIMERO. </w:t>
            </w:r>
            <w:r>
              <w:rPr>
                <w:rFonts w:ascii="Arial" w:eastAsia="Arial" w:hAnsi="Arial" w:cs="Arial"/>
                <w:sz w:val="22"/>
                <w:szCs w:val="22"/>
              </w:rPr>
              <w:t xml:space="preserve">Se promoverá la articulación entre los sistemas de información nacionales y distritales, que permita mejorar la calidad de los registros administrativos y su interoperabilidad, para aunar esfuerzos que permitan acciones efectivas y eficaces para prevenir el reclutamiento, utilización, uso, </w:t>
            </w:r>
            <w:r>
              <w:rPr>
                <w:rFonts w:ascii="Arial" w:eastAsia="Arial" w:hAnsi="Arial" w:cs="Arial"/>
                <w:sz w:val="22"/>
                <w:szCs w:val="22"/>
                <w:highlight w:val="white"/>
              </w:rPr>
              <w:t xml:space="preserve">violencia y explotación sexual </w:t>
            </w:r>
            <w:r>
              <w:rPr>
                <w:rFonts w:ascii="Arial" w:eastAsia="Arial" w:hAnsi="Arial" w:cs="Arial"/>
                <w:sz w:val="22"/>
                <w:szCs w:val="22"/>
              </w:rPr>
              <w:t>en los NNAJ.</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b/>
                <w:sz w:val="22"/>
                <w:szCs w:val="22"/>
              </w:rPr>
              <w:t xml:space="preserve">PARÁGRAFO SEGUNDO. </w:t>
            </w:r>
            <w:r>
              <w:rPr>
                <w:rFonts w:ascii="Arial" w:eastAsia="Arial" w:hAnsi="Arial" w:cs="Arial"/>
                <w:sz w:val="22"/>
                <w:szCs w:val="22"/>
              </w:rPr>
              <w:t xml:space="preserve">La creación de este protocolo </w:t>
            </w:r>
            <w:r>
              <w:rPr>
                <w:rFonts w:ascii="Arial" w:eastAsia="Arial" w:hAnsi="Arial" w:cs="Arial"/>
                <w:sz w:val="22"/>
                <w:szCs w:val="22"/>
              </w:rPr>
              <w:lastRenderedPageBreak/>
              <w:t>incluirá la participación incidente de la sociedad civil organizada, incluyendo NNAJ y organizaciones que trabajen en favor de esta población.</w:t>
            </w:r>
          </w:p>
          <w:p w:rsidR="003D01F5" w:rsidRDefault="003D01F5">
            <w:pPr>
              <w:jc w:val="both"/>
              <w:rPr>
                <w:rFonts w:ascii="Arial" w:eastAsia="Arial" w:hAnsi="Arial" w:cs="Arial"/>
                <w:sz w:val="22"/>
                <w:szCs w:val="22"/>
              </w:rPr>
            </w:pPr>
          </w:p>
        </w:tc>
        <w:tc>
          <w:tcPr>
            <w:tcW w:w="3119" w:type="dxa"/>
          </w:tcPr>
          <w:p w:rsidR="003D01F5" w:rsidRDefault="003D01F5">
            <w:pPr>
              <w:jc w:val="both"/>
              <w:rPr>
                <w:rFonts w:ascii="Arial" w:eastAsia="Arial" w:hAnsi="Arial" w:cs="Arial"/>
                <w:sz w:val="22"/>
                <w:szCs w:val="22"/>
                <w:highlight w:val="white"/>
              </w:rPr>
            </w:pPr>
          </w:p>
          <w:p w:rsidR="003D01F5" w:rsidRDefault="000D1D32">
            <w:pPr>
              <w:jc w:val="both"/>
              <w:rPr>
                <w:rFonts w:ascii="Arial" w:eastAsia="Arial" w:hAnsi="Arial" w:cs="Arial"/>
                <w:sz w:val="22"/>
                <w:szCs w:val="22"/>
              </w:rPr>
            </w:pPr>
            <w:r>
              <w:rPr>
                <w:rFonts w:ascii="Arial" w:eastAsia="Arial" w:hAnsi="Arial" w:cs="Arial"/>
                <w:b/>
                <w:sz w:val="22"/>
                <w:szCs w:val="22"/>
              </w:rPr>
              <w:t>ARTÍCULO 6. PROTOCOLO.</w:t>
            </w:r>
            <w:r>
              <w:rPr>
                <w:rFonts w:ascii="Arial" w:eastAsia="Arial" w:hAnsi="Arial" w:cs="Arial"/>
                <w:sz w:val="22"/>
                <w:szCs w:val="22"/>
              </w:rPr>
              <w:t xml:space="preserve"> La Administración Distrital creará un protocolo de identificación y actuación específico para abordar de forma integral los factores de riesgo que indiquen amenaza de reclutamiento, utilización, usó, violencia y atención integral a NNAJ para la prevención de este fenómeno. </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sz w:val="22"/>
                <w:szCs w:val="22"/>
              </w:rPr>
              <w:t xml:space="preserve">El protocolo desarrollará, entre otras, las siguientes acciones: </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b/>
                <w:sz w:val="22"/>
                <w:szCs w:val="22"/>
              </w:rPr>
              <w:lastRenderedPageBreak/>
              <w:t xml:space="preserve">a. </w:t>
            </w:r>
            <w:r>
              <w:rPr>
                <w:rFonts w:ascii="Arial" w:eastAsia="Arial" w:hAnsi="Arial" w:cs="Arial"/>
                <w:sz w:val="22"/>
                <w:szCs w:val="22"/>
              </w:rPr>
              <w:t xml:space="preserve">Promover la identificación de factores de riesgos asociados a dinámicas de reclutamiento, utilización, usó, </w:t>
            </w:r>
            <w:r>
              <w:rPr>
                <w:rFonts w:ascii="Arial" w:eastAsia="Arial" w:hAnsi="Arial" w:cs="Arial"/>
                <w:sz w:val="22"/>
                <w:szCs w:val="22"/>
                <w:highlight w:val="white"/>
              </w:rPr>
              <w:t xml:space="preserve">violencia y explotación sexual </w:t>
            </w:r>
            <w:r>
              <w:rPr>
                <w:rFonts w:ascii="Arial" w:eastAsia="Arial" w:hAnsi="Arial" w:cs="Arial"/>
                <w:sz w:val="22"/>
                <w:szCs w:val="22"/>
              </w:rPr>
              <w:t>en los NNAJ en los distintos entornos donde se desarrollan.</w:t>
            </w:r>
          </w:p>
          <w:p w:rsidR="003D01F5" w:rsidRDefault="000D1D32">
            <w:pPr>
              <w:jc w:val="both"/>
              <w:rPr>
                <w:rFonts w:ascii="Arial" w:eastAsia="Arial" w:hAnsi="Arial" w:cs="Arial"/>
                <w:b/>
                <w:sz w:val="22"/>
                <w:szCs w:val="22"/>
                <w:u w:val="single"/>
              </w:rPr>
            </w:pPr>
            <w:r>
              <w:rPr>
                <w:rFonts w:ascii="Arial" w:eastAsia="Arial" w:hAnsi="Arial" w:cs="Arial"/>
                <w:b/>
                <w:sz w:val="22"/>
                <w:szCs w:val="22"/>
              </w:rPr>
              <w:t xml:space="preserve">b. </w:t>
            </w:r>
            <w:r>
              <w:rPr>
                <w:rFonts w:ascii="Arial" w:eastAsia="Arial" w:hAnsi="Arial" w:cs="Arial"/>
                <w:sz w:val="22"/>
                <w:szCs w:val="22"/>
              </w:rPr>
              <w:t xml:space="preserve">Articular acciones con los sistemas de alertas tempranas distritales y nacionales para brindar y recibir información tendiente a prevenir y abordar el reclutamiento, utilización, usó, </w:t>
            </w:r>
            <w:r>
              <w:rPr>
                <w:rFonts w:ascii="Arial" w:eastAsia="Arial" w:hAnsi="Arial" w:cs="Arial"/>
                <w:sz w:val="22"/>
                <w:szCs w:val="22"/>
                <w:highlight w:val="white"/>
              </w:rPr>
              <w:t xml:space="preserve">violencia y explotación sexual </w:t>
            </w:r>
            <w:r>
              <w:rPr>
                <w:rFonts w:ascii="Arial" w:eastAsia="Arial" w:hAnsi="Arial" w:cs="Arial"/>
                <w:sz w:val="22"/>
                <w:szCs w:val="22"/>
              </w:rPr>
              <w:t xml:space="preserve">en los NNAJ. </w:t>
            </w:r>
            <w:r>
              <w:rPr>
                <w:rFonts w:ascii="Arial" w:eastAsia="Arial" w:hAnsi="Arial" w:cs="Arial"/>
                <w:sz w:val="22"/>
                <w:szCs w:val="22"/>
                <w:u w:val="single"/>
              </w:rPr>
              <w:t>Administración Distrital deberá elaborar informes semestrales de análisis de riesgo diferenciados por localidad, con el propósito de identificar factores de vulnerabilidad y priorizar acciones integrales de prevención frente al reclutamiento, uso, utilización, violencia y explotación sexual en contra de niñas, niños, adolescentes y jóvenes (NNAJ).</w:t>
            </w:r>
          </w:p>
          <w:p w:rsidR="003D01F5" w:rsidRDefault="000D1D32">
            <w:pPr>
              <w:jc w:val="both"/>
              <w:rPr>
                <w:rFonts w:ascii="Arial" w:eastAsia="Arial" w:hAnsi="Arial" w:cs="Arial"/>
                <w:sz w:val="22"/>
                <w:szCs w:val="22"/>
              </w:rPr>
            </w:pPr>
            <w:r>
              <w:rPr>
                <w:rFonts w:ascii="Arial" w:eastAsia="Arial" w:hAnsi="Arial" w:cs="Arial"/>
                <w:b/>
                <w:sz w:val="22"/>
                <w:szCs w:val="22"/>
              </w:rPr>
              <w:t xml:space="preserve">c. </w:t>
            </w:r>
            <w:r>
              <w:rPr>
                <w:rFonts w:ascii="Arial" w:eastAsia="Arial" w:hAnsi="Arial" w:cs="Arial"/>
                <w:sz w:val="22"/>
                <w:szCs w:val="22"/>
              </w:rPr>
              <w:t>Diseñar e incluir rutas de promoción y atención intersectorial para la protección inmediata de NNAJ en riesgo y situación de vulnerabilidad. Esto, a través de los programas distritales que ya</w:t>
            </w:r>
            <w:r>
              <w:rPr>
                <w:rFonts w:ascii="Arial" w:eastAsia="Arial" w:hAnsi="Arial" w:cs="Arial"/>
                <w:sz w:val="22"/>
                <w:szCs w:val="22"/>
                <w:u w:val="single"/>
              </w:rPr>
              <w:t xml:space="preserve"> brindan</w:t>
            </w:r>
            <w:r>
              <w:rPr>
                <w:rFonts w:ascii="Arial" w:eastAsia="Arial" w:hAnsi="Arial" w:cs="Arial"/>
                <w:sz w:val="22"/>
                <w:szCs w:val="22"/>
              </w:rPr>
              <w:t xml:space="preserve"> atención integral a NNAJ en Bogotá D.C.</w:t>
            </w:r>
          </w:p>
          <w:p w:rsidR="003D01F5" w:rsidRDefault="000D1D32">
            <w:pPr>
              <w:jc w:val="both"/>
              <w:rPr>
                <w:rFonts w:ascii="Arial" w:eastAsia="Arial" w:hAnsi="Arial" w:cs="Arial"/>
                <w:color w:val="FF0000"/>
                <w:sz w:val="22"/>
                <w:szCs w:val="22"/>
                <w:u w:val="single"/>
              </w:rPr>
            </w:pPr>
            <w:r>
              <w:rPr>
                <w:rFonts w:ascii="Arial" w:eastAsia="Arial" w:hAnsi="Arial" w:cs="Arial"/>
                <w:sz w:val="22"/>
                <w:szCs w:val="22"/>
                <w:u w:val="single"/>
              </w:rPr>
              <w:t xml:space="preserve">d. </w:t>
            </w:r>
            <w:r>
              <w:rPr>
                <w:rFonts w:ascii="Arial" w:eastAsia="Arial" w:hAnsi="Arial" w:cs="Arial"/>
                <w:i/>
                <w:sz w:val="22"/>
                <w:szCs w:val="22"/>
                <w:u w:val="single"/>
              </w:rPr>
              <w:t xml:space="preserve">La Administración Distrital deberá definir, diseñar e implementar mecanismos de seguimiento, evaluación y monitoreo que permitan medir </w:t>
            </w:r>
            <w:r>
              <w:rPr>
                <w:rFonts w:ascii="Arial" w:eastAsia="Arial" w:hAnsi="Arial" w:cs="Arial"/>
                <w:i/>
                <w:sz w:val="22"/>
                <w:szCs w:val="22"/>
                <w:u w:val="single"/>
              </w:rPr>
              <w:lastRenderedPageBreak/>
              <w:t>el nivel de implementación del protocolo y su impacto en territorios, con el fin de fortalecer las estrategias de prevención y protección de los derechos de NNAJ.</w:t>
            </w:r>
          </w:p>
          <w:p w:rsidR="003D01F5" w:rsidRDefault="000D1D32">
            <w:pPr>
              <w:jc w:val="both"/>
              <w:rPr>
                <w:rFonts w:ascii="Arial" w:eastAsia="Arial" w:hAnsi="Arial" w:cs="Arial"/>
                <w:sz w:val="22"/>
                <w:szCs w:val="22"/>
              </w:rPr>
            </w:pPr>
            <w:r>
              <w:rPr>
                <w:rFonts w:ascii="Arial" w:eastAsia="Arial" w:hAnsi="Arial" w:cs="Arial"/>
                <w:b/>
                <w:sz w:val="22"/>
                <w:szCs w:val="22"/>
              </w:rPr>
              <w:t xml:space="preserve">PARÁGRAFO PRIMERO. </w:t>
            </w:r>
            <w:r>
              <w:rPr>
                <w:rFonts w:ascii="Arial" w:eastAsia="Arial" w:hAnsi="Arial" w:cs="Arial"/>
                <w:sz w:val="22"/>
                <w:szCs w:val="22"/>
              </w:rPr>
              <w:t xml:space="preserve">Se promoverá la articulación entre los sistemas de información nacionales y distritales, que permita mejorar la calidad de los registros administrativos y su interoperabilidad, para aunar esfuerzos que permitan acciones efectivas y eficaces para prevenir el reclutamiento, utilización, uso, </w:t>
            </w:r>
            <w:r>
              <w:rPr>
                <w:rFonts w:ascii="Arial" w:eastAsia="Arial" w:hAnsi="Arial" w:cs="Arial"/>
                <w:sz w:val="22"/>
                <w:szCs w:val="22"/>
                <w:highlight w:val="white"/>
              </w:rPr>
              <w:t xml:space="preserve">violencia y explotación sexual </w:t>
            </w:r>
            <w:r>
              <w:rPr>
                <w:rFonts w:ascii="Arial" w:eastAsia="Arial" w:hAnsi="Arial" w:cs="Arial"/>
                <w:sz w:val="22"/>
                <w:szCs w:val="22"/>
              </w:rPr>
              <w:t>en los NNAJ.</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b/>
                <w:sz w:val="22"/>
                <w:szCs w:val="22"/>
              </w:rPr>
              <w:t xml:space="preserve">PARÁGRAFO SEGUNDO. </w:t>
            </w:r>
            <w:r>
              <w:rPr>
                <w:rFonts w:ascii="Arial" w:eastAsia="Arial" w:hAnsi="Arial" w:cs="Arial"/>
                <w:sz w:val="22"/>
                <w:szCs w:val="22"/>
              </w:rPr>
              <w:t>La creación de este protocolo incluirá la participación incidente de la sociedad civil organizada, incluyendo NNAJ y organizaciones que trabajen en favor de esta población.</w:t>
            </w:r>
          </w:p>
          <w:p w:rsidR="003D01F5" w:rsidRDefault="003D01F5">
            <w:pPr>
              <w:jc w:val="both"/>
              <w:rPr>
                <w:rFonts w:ascii="Arial" w:eastAsia="Arial" w:hAnsi="Arial" w:cs="Arial"/>
                <w:color w:val="FF0000"/>
                <w:sz w:val="22"/>
                <w:szCs w:val="22"/>
                <w:u w:val="single"/>
              </w:rPr>
            </w:pPr>
          </w:p>
        </w:tc>
        <w:tc>
          <w:tcPr>
            <w:tcW w:w="2871" w:type="dxa"/>
          </w:tcPr>
          <w:p w:rsidR="003D01F5" w:rsidRDefault="000D1D32">
            <w:pPr>
              <w:jc w:val="both"/>
              <w:rPr>
                <w:rFonts w:ascii="Arial" w:eastAsia="Arial" w:hAnsi="Arial" w:cs="Arial"/>
                <w:sz w:val="22"/>
                <w:szCs w:val="22"/>
              </w:rPr>
            </w:pPr>
            <w:r>
              <w:rPr>
                <w:rFonts w:ascii="Arial" w:eastAsia="Arial" w:hAnsi="Arial" w:cs="Arial"/>
                <w:sz w:val="22"/>
                <w:szCs w:val="22"/>
              </w:rPr>
              <w:lastRenderedPageBreak/>
              <w:t>La inclusión de los literales b y d responde a la necesidad de fortalecer los mecanismos de prevención y protección frente al reclutamiento, utilización, uso, violencia y explotación sexual de niñas, niños, adolescentes y jóvenes (NNAJ) en el Distrito Capital.</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sz w:val="22"/>
                <w:szCs w:val="22"/>
              </w:rPr>
              <w:t xml:space="preserve">La propuesta de adicionar el literal b busca establecer la obligación de la Administración Distrital de generar informes semestrales de análisis de </w:t>
            </w:r>
            <w:r>
              <w:rPr>
                <w:rFonts w:ascii="Arial" w:eastAsia="Arial" w:hAnsi="Arial" w:cs="Arial"/>
                <w:sz w:val="22"/>
                <w:szCs w:val="22"/>
              </w:rPr>
              <w:lastRenderedPageBreak/>
              <w:t>riesgo por localidad, lo cual permitirá identificar con mayor precisión las localidades con mayores niveles de vulnerabilidad y exposición. Esta información será clave para priorizar acciones institucionales diferenciadas, articuladas con enfoques territoriales y poblacionales, y orientadas a la garantía de derechos de NNAJ.</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sz w:val="22"/>
                <w:szCs w:val="22"/>
              </w:rPr>
              <w:t>Por otra parte, el literal d introduce la necesidad de medir la implementación del protocolo y evaluar su impacto, especialmente en zonas de alto riesgo. Esta medida busca asegurar que las estrategias adoptadas no sólo se apliquen, sino que se traduzcan en resultados efectivos de protección. A través de mecanismos de seguimiento y monitoreo se podrán identificar avances, retos y ajustes necesarios, fortaleciendo así la capacidad institucional para responder de manera oportuna y eficaz.</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sz w:val="22"/>
                <w:szCs w:val="22"/>
              </w:rPr>
              <w:t xml:space="preserve">Se modifica el tiempo verbal del literal c, cambiando “brinden” por “brindan”, con el propósito de reconocer que en la actualidad existen programas implementados por la Administración Distrital orientados a la atención integral de niñas, </w:t>
            </w:r>
            <w:r>
              <w:rPr>
                <w:rFonts w:ascii="Arial" w:eastAsia="Arial" w:hAnsi="Arial" w:cs="Arial"/>
                <w:sz w:val="22"/>
                <w:szCs w:val="22"/>
              </w:rPr>
              <w:lastRenderedPageBreak/>
              <w:t>niños, adolescentes y jóvenes (NNAJ). El uso del tiempo presente (“brindan”) permite construir un marco más concreto para la identificación, evaluación y fortalecimiento de estos programas, como parte de una estrategia más amplia de protección, prevención y garantía de derechos de NNAJ. Además, facilita la articulación con acciones existentes dentro de planes como el Plan Distrital de Desarrollo</w:t>
            </w:r>
          </w:p>
        </w:tc>
      </w:tr>
      <w:tr w:rsidR="003D01F5">
        <w:trPr>
          <w:trHeight w:val="402"/>
        </w:trPr>
        <w:tc>
          <w:tcPr>
            <w:tcW w:w="3100" w:type="dxa"/>
          </w:tcPr>
          <w:p w:rsidR="003D01F5" w:rsidRDefault="000D1D32">
            <w:pPr>
              <w:jc w:val="both"/>
              <w:rPr>
                <w:rFonts w:ascii="Arial" w:eastAsia="Arial" w:hAnsi="Arial" w:cs="Arial"/>
                <w:sz w:val="22"/>
                <w:szCs w:val="22"/>
              </w:rPr>
            </w:pPr>
            <w:r>
              <w:rPr>
                <w:rFonts w:ascii="Arial" w:eastAsia="Arial" w:hAnsi="Arial" w:cs="Arial"/>
                <w:b/>
                <w:sz w:val="22"/>
                <w:szCs w:val="22"/>
              </w:rPr>
              <w:lastRenderedPageBreak/>
              <w:t xml:space="preserve">ARTÍCULO 7. COMPONENTE DE PREVENCIÓN. </w:t>
            </w:r>
            <w:r>
              <w:rPr>
                <w:rFonts w:ascii="Arial" w:eastAsia="Arial" w:hAnsi="Arial" w:cs="Arial"/>
                <w:sz w:val="22"/>
                <w:szCs w:val="22"/>
              </w:rPr>
              <w:t xml:space="preserve">De conformidad con el protocolo dispuesto en el artículo anterior y respetando la sostenibilidad fiscal, los programas, proyectos y estrategias distritales ya existentes o que se creen posterior a la sanción de este Acuerdo y que pertenezcan a los sectores: educación; integración social; salud; cultura, recreación y deporte; y seguridad convivencia y justicia, dirigidos a la atención </w:t>
            </w:r>
            <w:r>
              <w:rPr>
                <w:rFonts w:ascii="Arial" w:eastAsia="Arial" w:hAnsi="Arial" w:cs="Arial"/>
                <w:sz w:val="22"/>
                <w:szCs w:val="22"/>
              </w:rPr>
              <w:lastRenderedPageBreak/>
              <w:t>integral de NNAJ incluirán, de manera progresiva y transversal, un componente específico de prevención del reclutamiento, utilización, uso, violencia y explotación sexual contra NNAJ.</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sz w:val="22"/>
                <w:szCs w:val="22"/>
              </w:rPr>
              <w:t xml:space="preserve">Dicho componente podrá incluir estrategias y acciones encaminadas no solo a prevenir sino a identificar factores de riesgo subyacentes al ciclo y curso de vida de los NNAJ. Igualmente, se propenderá por promover entornos protectores y seguros para NNAJ a nivel familiar, escolar, comunitario e institucional. </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b/>
                <w:sz w:val="22"/>
                <w:szCs w:val="22"/>
              </w:rPr>
              <w:t xml:space="preserve">PARÁGRAFO PRIMERO. </w:t>
            </w:r>
            <w:r>
              <w:rPr>
                <w:rFonts w:ascii="Arial" w:eastAsia="Arial" w:hAnsi="Arial" w:cs="Arial"/>
                <w:sz w:val="22"/>
                <w:szCs w:val="22"/>
              </w:rPr>
              <w:t xml:space="preserve">La Administración Distrital, con base en el protocolo, promoverá acciones focalizadas en programas sociales, económicos, educativos, culturales y recreativos dirigidos a NNAJ y sus familias con alto grado de vulnerabilidad y riesgo de reclutamiento, utilización, usó, violencia y explotación sexual en el Distrito Capital. </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trike/>
                <w:sz w:val="22"/>
                <w:szCs w:val="22"/>
              </w:rPr>
            </w:pPr>
            <w:r>
              <w:rPr>
                <w:rFonts w:ascii="Arial" w:eastAsia="Arial" w:hAnsi="Arial" w:cs="Arial"/>
                <w:b/>
                <w:sz w:val="22"/>
                <w:szCs w:val="22"/>
              </w:rPr>
              <w:t xml:space="preserve">PARÁGRAFO SEGUNDO. </w:t>
            </w:r>
            <w:r>
              <w:rPr>
                <w:rFonts w:ascii="Arial" w:eastAsia="Arial" w:hAnsi="Arial" w:cs="Arial"/>
                <w:sz w:val="22"/>
                <w:szCs w:val="22"/>
              </w:rPr>
              <w:t>La Administración Distrital articulará las estrategias y acciones que nazcan de este componente y del protocolo, con las rutas existentes para la prevención del reclutamiento, utilización, uso, violencia y explotación sexual contra NNAJ.</w:t>
            </w:r>
          </w:p>
        </w:tc>
        <w:tc>
          <w:tcPr>
            <w:tcW w:w="3119" w:type="dxa"/>
          </w:tcPr>
          <w:p w:rsidR="003D01F5" w:rsidRDefault="000D1D32">
            <w:pPr>
              <w:jc w:val="both"/>
              <w:rPr>
                <w:rFonts w:ascii="Arial" w:eastAsia="Arial" w:hAnsi="Arial" w:cs="Arial"/>
                <w:sz w:val="22"/>
                <w:szCs w:val="22"/>
              </w:rPr>
            </w:pPr>
            <w:r>
              <w:rPr>
                <w:rFonts w:ascii="Arial" w:eastAsia="Arial" w:hAnsi="Arial" w:cs="Arial"/>
                <w:b/>
                <w:sz w:val="22"/>
                <w:szCs w:val="22"/>
              </w:rPr>
              <w:lastRenderedPageBreak/>
              <w:t xml:space="preserve">ARTÍCULO 7. COMPONENTE DE PREVENCIÓN. </w:t>
            </w:r>
            <w:r>
              <w:rPr>
                <w:rFonts w:ascii="Arial" w:eastAsia="Arial" w:hAnsi="Arial" w:cs="Arial"/>
                <w:sz w:val="22"/>
                <w:szCs w:val="22"/>
              </w:rPr>
              <w:t xml:space="preserve">De conformidad con el protocolo dispuesto en el artículo anterior y respetando la sostenibilidad fiscal, los programas, proyectos y estrategias distritales ya existentes o que se creen posterior a la sanción de este Acuerdo y que pertenezcan a los sectores: educación; integración social; salud; cultura, recreación y deporte; y seguridad convivencia y justicia, dirigidos a la atención </w:t>
            </w:r>
            <w:r>
              <w:rPr>
                <w:rFonts w:ascii="Arial" w:eastAsia="Arial" w:hAnsi="Arial" w:cs="Arial"/>
                <w:sz w:val="22"/>
                <w:szCs w:val="22"/>
              </w:rPr>
              <w:lastRenderedPageBreak/>
              <w:t>integral de NNAJ incluirán, de manera progresiva y transversal, un componente específico de prevención del reclutamiento, utilización, uso, violencia y explotación sexual contra NNAJ.</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sz w:val="22"/>
                <w:szCs w:val="22"/>
              </w:rPr>
              <w:t xml:space="preserve">Dicho componente podrá incluir estrategias y acciones encaminadas no sólo a prevenir sino a identificar factores de riesgo subyacentes al ciclo y curso de vida de los NNAJ. Igualmente, se propenderá por promover entornos protectores y seguros para NNAJ a nivel familiar, escolar, comunitario e institucional. </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b/>
                <w:sz w:val="22"/>
                <w:szCs w:val="22"/>
              </w:rPr>
              <w:t xml:space="preserve">PARÁGRAFO PRIMERO. </w:t>
            </w:r>
            <w:r>
              <w:rPr>
                <w:rFonts w:ascii="Arial" w:eastAsia="Arial" w:hAnsi="Arial" w:cs="Arial"/>
                <w:sz w:val="22"/>
                <w:szCs w:val="22"/>
              </w:rPr>
              <w:t xml:space="preserve">La Administración Distrital, con base en el protocolo, promoverá acciones focalizadas en programas sociales, económicos, educativos, culturales y recreativos dirigidos a NNAJ y sus familias con alto grado de vulnerabilidad y riesgo de reclutamiento, utilización, usó, violencia y explotación sexual en el Distrito Capital. </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b/>
                <w:sz w:val="22"/>
                <w:szCs w:val="22"/>
              </w:rPr>
              <w:t xml:space="preserve">PARÁGRAFO SEGUNDO. </w:t>
            </w:r>
            <w:r>
              <w:rPr>
                <w:rFonts w:ascii="Arial" w:eastAsia="Arial" w:hAnsi="Arial" w:cs="Arial"/>
                <w:sz w:val="22"/>
                <w:szCs w:val="22"/>
              </w:rPr>
              <w:t>La Administración Distrital articulará las estrategias y acciones que nazcan de este componente y del protocolo, con las rutas existentes para la prevención del reclutamiento, utilización, uso, violencia y explotación sexual contra NNAJ.</w:t>
            </w:r>
          </w:p>
        </w:tc>
        <w:tc>
          <w:tcPr>
            <w:tcW w:w="2871" w:type="dxa"/>
          </w:tcPr>
          <w:p w:rsidR="003D01F5" w:rsidRDefault="000D1D32">
            <w:pPr>
              <w:jc w:val="both"/>
              <w:rPr>
                <w:rFonts w:ascii="Arial" w:eastAsia="Arial" w:hAnsi="Arial" w:cs="Arial"/>
                <w:sz w:val="22"/>
                <w:szCs w:val="22"/>
              </w:rPr>
            </w:pPr>
            <w:r>
              <w:rPr>
                <w:rFonts w:ascii="Arial" w:eastAsia="Arial" w:hAnsi="Arial" w:cs="Arial"/>
                <w:sz w:val="22"/>
                <w:szCs w:val="22"/>
              </w:rPr>
              <w:lastRenderedPageBreak/>
              <w:t xml:space="preserve">No se modifica el artículo. </w:t>
            </w:r>
          </w:p>
        </w:tc>
      </w:tr>
      <w:tr w:rsidR="003D01F5">
        <w:trPr>
          <w:trHeight w:val="402"/>
        </w:trPr>
        <w:tc>
          <w:tcPr>
            <w:tcW w:w="3100" w:type="dxa"/>
          </w:tcPr>
          <w:p w:rsidR="003D01F5" w:rsidRDefault="000D1D32">
            <w:pPr>
              <w:jc w:val="both"/>
              <w:rPr>
                <w:rFonts w:ascii="Arial" w:eastAsia="Arial" w:hAnsi="Arial" w:cs="Arial"/>
                <w:sz w:val="22"/>
                <w:szCs w:val="22"/>
              </w:rPr>
            </w:pPr>
            <w:r>
              <w:rPr>
                <w:rFonts w:ascii="Arial" w:eastAsia="Arial" w:hAnsi="Arial" w:cs="Arial"/>
                <w:b/>
                <w:sz w:val="22"/>
                <w:szCs w:val="22"/>
              </w:rPr>
              <w:lastRenderedPageBreak/>
              <w:t xml:space="preserve">ARTÍCULO 8. CAPACITACIÓN. </w:t>
            </w:r>
            <w:r>
              <w:rPr>
                <w:rFonts w:ascii="Arial" w:eastAsia="Arial" w:hAnsi="Arial" w:cs="Arial"/>
                <w:sz w:val="22"/>
                <w:szCs w:val="22"/>
              </w:rPr>
              <w:t xml:space="preserve">Se propenderá por que los funcionarios públicos y contratistas de la Administración Distrital que trabajen en programas, proyectos y estrategias de atención a NNAJ, de los sectores establecidos en el artículo 7 del presente Acuerdo, recibirán capacitación en:  </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b/>
                <w:sz w:val="22"/>
                <w:szCs w:val="22"/>
              </w:rPr>
              <w:t xml:space="preserve">a. </w:t>
            </w:r>
            <w:r>
              <w:rPr>
                <w:rFonts w:ascii="Arial" w:eastAsia="Arial" w:hAnsi="Arial" w:cs="Arial"/>
                <w:sz w:val="22"/>
                <w:szCs w:val="22"/>
                <w:highlight w:val="white"/>
              </w:rPr>
              <w:t xml:space="preserve">Prevención del reclutamiento, </w:t>
            </w:r>
            <w:r>
              <w:rPr>
                <w:rFonts w:ascii="Arial" w:eastAsia="Arial" w:hAnsi="Arial" w:cs="Arial"/>
                <w:sz w:val="22"/>
                <w:szCs w:val="22"/>
              </w:rPr>
              <w:t>utilización, usó, violencia y explotación sexual contra NNAJ.</w:t>
            </w:r>
          </w:p>
          <w:p w:rsidR="003D01F5" w:rsidRDefault="000D1D32">
            <w:pPr>
              <w:jc w:val="both"/>
              <w:rPr>
                <w:rFonts w:ascii="Arial" w:eastAsia="Arial" w:hAnsi="Arial" w:cs="Arial"/>
                <w:sz w:val="22"/>
                <w:szCs w:val="22"/>
              </w:rPr>
            </w:pPr>
            <w:r>
              <w:rPr>
                <w:rFonts w:ascii="Arial" w:eastAsia="Arial" w:hAnsi="Arial" w:cs="Arial"/>
                <w:b/>
                <w:sz w:val="22"/>
                <w:szCs w:val="22"/>
              </w:rPr>
              <w:t xml:space="preserve">b. </w:t>
            </w:r>
            <w:r>
              <w:rPr>
                <w:rFonts w:ascii="Arial" w:eastAsia="Arial" w:hAnsi="Arial" w:cs="Arial"/>
                <w:sz w:val="22"/>
                <w:szCs w:val="22"/>
              </w:rPr>
              <w:t xml:space="preserve">Derechos humanos y protección integral de NNAJ.  </w:t>
            </w:r>
          </w:p>
          <w:p w:rsidR="003D01F5" w:rsidRDefault="000D1D32">
            <w:pPr>
              <w:jc w:val="both"/>
              <w:rPr>
                <w:rFonts w:ascii="Arial" w:eastAsia="Arial" w:hAnsi="Arial" w:cs="Arial"/>
                <w:sz w:val="22"/>
                <w:szCs w:val="22"/>
              </w:rPr>
            </w:pPr>
            <w:r>
              <w:rPr>
                <w:rFonts w:ascii="Arial" w:eastAsia="Arial" w:hAnsi="Arial" w:cs="Arial"/>
                <w:b/>
                <w:sz w:val="22"/>
                <w:szCs w:val="22"/>
              </w:rPr>
              <w:t xml:space="preserve">c. </w:t>
            </w:r>
            <w:r>
              <w:rPr>
                <w:rFonts w:ascii="Arial" w:eastAsia="Arial" w:hAnsi="Arial" w:cs="Arial"/>
                <w:sz w:val="22"/>
                <w:szCs w:val="22"/>
              </w:rPr>
              <w:t xml:space="preserve">Manejo y aplicación del protocolo dispuesto en el artículo 6. </w:t>
            </w:r>
          </w:p>
          <w:p w:rsidR="003D01F5" w:rsidRDefault="000D1D32">
            <w:pPr>
              <w:jc w:val="both"/>
              <w:rPr>
                <w:rFonts w:ascii="Arial" w:eastAsia="Arial" w:hAnsi="Arial" w:cs="Arial"/>
                <w:sz w:val="22"/>
                <w:szCs w:val="22"/>
              </w:rPr>
            </w:pPr>
            <w:r>
              <w:rPr>
                <w:rFonts w:ascii="Arial" w:eastAsia="Arial" w:hAnsi="Arial" w:cs="Arial"/>
                <w:b/>
                <w:sz w:val="22"/>
                <w:szCs w:val="22"/>
              </w:rPr>
              <w:t xml:space="preserve">d. </w:t>
            </w:r>
            <w:r>
              <w:rPr>
                <w:rFonts w:ascii="Arial" w:eastAsia="Arial" w:hAnsi="Arial" w:cs="Arial"/>
                <w:sz w:val="22"/>
                <w:szCs w:val="22"/>
              </w:rPr>
              <w:t>Estrategias de promoción de entornos protectores y seguros.</w:t>
            </w:r>
          </w:p>
          <w:p w:rsidR="003D01F5" w:rsidRDefault="000D1D32">
            <w:pPr>
              <w:jc w:val="both"/>
              <w:rPr>
                <w:rFonts w:ascii="Arial" w:eastAsia="Arial" w:hAnsi="Arial" w:cs="Arial"/>
                <w:b/>
                <w:sz w:val="22"/>
                <w:szCs w:val="22"/>
              </w:rPr>
            </w:pPr>
            <w:r>
              <w:rPr>
                <w:rFonts w:ascii="Arial" w:eastAsia="Arial" w:hAnsi="Arial" w:cs="Arial"/>
                <w:b/>
                <w:sz w:val="22"/>
                <w:szCs w:val="22"/>
              </w:rPr>
              <w:t xml:space="preserve">e. </w:t>
            </w:r>
            <w:r>
              <w:rPr>
                <w:rFonts w:ascii="Arial" w:eastAsia="Arial" w:hAnsi="Arial" w:cs="Arial"/>
                <w:sz w:val="22"/>
                <w:szCs w:val="22"/>
              </w:rPr>
              <w:t xml:space="preserve">Estrategias de uso de evidencia para el diseño, seguimiento, mejora y adaptación de acciones. </w:t>
            </w:r>
          </w:p>
        </w:tc>
        <w:tc>
          <w:tcPr>
            <w:tcW w:w="3119" w:type="dxa"/>
          </w:tcPr>
          <w:p w:rsidR="003D01F5" w:rsidRDefault="000D1D32">
            <w:pPr>
              <w:jc w:val="both"/>
              <w:rPr>
                <w:rFonts w:ascii="Arial" w:eastAsia="Arial" w:hAnsi="Arial" w:cs="Arial"/>
                <w:sz w:val="22"/>
                <w:szCs w:val="22"/>
                <w:u w:val="single"/>
              </w:rPr>
            </w:pPr>
            <w:r>
              <w:rPr>
                <w:rFonts w:ascii="Arial" w:eastAsia="Arial" w:hAnsi="Arial" w:cs="Arial"/>
                <w:b/>
                <w:sz w:val="22"/>
                <w:szCs w:val="22"/>
              </w:rPr>
              <w:t xml:space="preserve">ARTÍCULO 8. CAPACITACIÓN. </w:t>
            </w:r>
            <w:r>
              <w:rPr>
                <w:rFonts w:ascii="Arial" w:eastAsia="Arial" w:hAnsi="Arial" w:cs="Arial"/>
                <w:sz w:val="22"/>
                <w:szCs w:val="22"/>
              </w:rPr>
              <w:t xml:space="preserve">Se propenderá por que los funcionarios públicos y contratistas de la Administración Distrital que trabajen en programas, proyectos y estrategias de atención a NNAJ, de los sectores establecidos en el artículo 7 del presente Acuerdo, recibirán </w:t>
            </w:r>
            <w:r>
              <w:rPr>
                <w:rFonts w:ascii="Arial" w:eastAsia="Arial" w:hAnsi="Arial" w:cs="Arial"/>
                <w:sz w:val="22"/>
                <w:szCs w:val="22"/>
                <w:u w:val="single"/>
              </w:rPr>
              <w:t>capacitación anual en:</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b/>
                <w:sz w:val="22"/>
                <w:szCs w:val="22"/>
              </w:rPr>
              <w:t xml:space="preserve">a. </w:t>
            </w:r>
            <w:r>
              <w:rPr>
                <w:rFonts w:ascii="Arial" w:eastAsia="Arial" w:hAnsi="Arial" w:cs="Arial"/>
                <w:sz w:val="22"/>
                <w:szCs w:val="22"/>
                <w:highlight w:val="white"/>
              </w:rPr>
              <w:t xml:space="preserve">Prevención del reclutamiento, </w:t>
            </w:r>
            <w:r>
              <w:rPr>
                <w:rFonts w:ascii="Arial" w:eastAsia="Arial" w:hAnsi="Arial" w:cs="Arial"/>
                <w:sz w:val="22"/>
                <w:szCs w:val="22"/>
              </w:rPr>
              <w:t>utilización, usó, violencia y explotación sexual contra NNAJ.</w:t>
            </w:r>
          </w:p>
          <w:p w:rsidR="003D01F5" w:rsidRDefault="000D1D32">
            <w:pPr>
              <w:jc w:val="both"/>
              <w:rPr>
                <w:rFonts w:ascii="Arial" w:eastAsia="Arial" w:hAnsi="Arial" w:cs="Arial"/>
                <w:sz w:val="22"/>
                <w:szCs w:val="22"/>
              </w:rPr>
            </w:pPr>
            <w:r>
              <w:rPr>
                <w:rFonts w:ascii="Arial" w:eastAsia="Arial" w:hAnsi="Arial" w:cs="Arial"/>
                <w:b/>
                <w:sz w:val="22"/>
                <w:szCs w:val="22"/>
              </w:rPr>
              <w:t xml:space="preserve">b. </w:t>
            </w:r>
            <w:r>
              <w:rPr>
                <w:rFonts w:ascii="Arial" w:eastAsia="Arial" w:hAnsi="Arial" w:cs="Arial"/>
                <w:sz w:val="22"/>
                <w:szCs w:val="22"/>
              </w:rPr>
              <w:t xml:space="preserve">Derechos humanos y protección integral de NNAJ.  </w:t>
            </w:r>
          </w:p>
          <w:p w:rsidR="003D01F5" w:rsidRDefault="000D1D32">
            <w:pPr>
              <w:jc w:val="both"/>
              <w:rPr>
                <w:rFonts w:ascii="Arial" w:eastAsia="Arial" w:hAnsi="Arial" w:cs="Arial"/>
                <w:sz w:val="22"/>
                <w:szCs w:val="22"/>
              </w:rPr>
            </w:pPr>
            <w:r>
              <w:rPr>
                <w:rFonts w:ascii="Arial" w:eastAsia="Arial" w:hAnsi="Arial" w:cs="Arial"/>
                <w:b/>
                <w:sz w:val="22"/>
                <w:szCs w:val="22"/>
              </w:rPr>
              <w:t xml:space="preserve">c. </w:t>
            </w:r>
            <w:r>
              <w:rPr>
                <w:rFonts w:ascii="Arial" w:eastAsia="Arial" w:hAnsi="Arial" w:cs="Arial"/>
                <w:sz w:val="22"/>
                <w:szCs w:val="22"/>
              </w:rPr>
              <w:t xml:space="preserve">Manejo y aplicación del protocolo dispuesto en el artículo 6. </w:t>
            </w:r>
          </w:p>
          <w:p w:rsidR="003D01F5" w:rsidRDefault="000D1D32">
            <w:pPr>
              <w:jc w:val="both"/>
              <w:rPr>
                <w:rFonts w:ascii="Arial" w:eastAsia="Arial" w:hAnsi="Arial" w:cs="Arial"/>
                <w:sz w:val="22"/>
                <w:szCs w:val="22"/>
              </w:rPr>
            </w:pPr>
            <w:r>
              <w:rPr>
                <w:rFonts w:ascii="Arial" w:eastAsia="Arial" w:hAnsi="Arial" w:cs="Arial"/>
                <w:b/>
                <w:sz w:val="22"/>
                <w:szCs w:val="22"/>
              </w:rPr>
              <w:t xml:space="preserve">d. </w:t>
            </w:r>
            <w:r>
              <w:rPr>
                <w:rFonts w:ascii="Arial" w:eastAsia="Arial" w:hAnsi="Arial" w:cs="Arial"/>
                <w:sz w:val="22"/>
                <w:szCs w:val="22"/>
              </w:rPr>
              <w:t>Estrategias de promoción de entornos protectores y seguros.</w:t>
            </w:r>
          </w:p>
          <w:p w:rsidR="003D01F5" w:rsidRDefault="000D1D32">
            <w:pPr>
              <w:jc w:val="both"/>
              <w:rPr>
                <w:rFonts w:ascii="Arial" w:eastAsia="Arial" w:hAnsi="Arial" w:cs="Arial"/>
                <w:b/>
                <w:sz w:val="22"/>
                <w:szCs w:val="22"/>
              </w:rPr>
            </w:pPr>
            <w:r>
              <w:rPr>
                <w:rFonts w:ascii="Arial" w:eastAsia="Arial" w:hAnsi="Arial" w:cs="Arial"/>
                <w:b/>
                <w:sz w:val="22"/>
                <w:szCs w:val="22"/>
              </w:rPr>
              <w:t xml:space="preserve">e. </w:t>
            </w:r>
            <w:r>
              <w:rPr>
                <w:rFonts w:ascii="Arial" w:eastAsia="Arial" w:hAnsi="Arial" w:cs="Arial"/>
                <w:sz w:val="22"/>
                <w:szCs w:val="22"/>
              </w:rPr>
              <w:t xml:space="preserve">Estrategias de uso de evidencia para el diseño, seguimiento, mejora y adaptación de acciones. </w:t>
            </w:r>
          </w:p>
        </w:tc>
        <w:tc>
          <w:tcPr>
            <w:tcW w:w="2871" w:type="dxa"/>
          </w:tcPr>
          <w:p w:rsidR="003D01F5" w:rsidRDefault="000D1D32">
            <w:pPr>
              <w:jc w:val="both"/>
              <w:rPr>
                <w:rFonts w:ascii="Arial" w:eastAsia="Arial" w:hAnsi="Arial" w:cs="Arial"/>
                <w:sz w:val="22"/>
                <w:szCs w:val="22"/>
              </w:rPr>
            </w:pPr>
            <w:r>
              <w:rPr>
                <w:rFonts w:ascii="Arial" w:eastAsia="Arial" w:hAnsi="Arial" w:cs="Arial"/>
                <w:sz w:val="22"/>
                <w:szCs w:val="22"/>
              </w:rPr>
              <w:t>Con el propósito de establecer una periodicidad clara y obligatoria, se propone que las capacitaciones contempladas se realicen al menos una vez al año. Esto garantiza la continuidad y actualización del conocimiento y las competencias de los funcionarios y agentes involucrados en la atención, prevención y protección de niñas, niños, adolescentes y jóvenes (NNAJ) en el Distrito Capital.</w:t>
            </w:r>
          </w:p>
        </w:tc>
      </w:tr>
      <w:tr w:rsidR="003D01F5">
        <w:trPr>
          <w:trHeight w:val="402"/>
        </w:trPr>
        <w:tc>
          <w:tcPr>
            <w:tcW w:w="3100" w:type="dxa"/>
          </w:tcPr>
          <w:p w:rsidR="003D01F5" w:rsidRDefault="000D1D32">
            <w:pPr>
              <w:spacing w:before="240" w:after="240"/>
              <w:jc w:val="both"/>
              <w:rPr>
                <w:rFonts w:ascii="Arial" w:eastAsia="Arial" w:hAnsi="Arial" w:cs="Arial"/>
                <w:sz w:val="22"/>
                <w:szCs w:val="22"/>
              </w:rPr>
            </w:pPr>
            <w:r>
              <w:rPr>
                <w:rFonts w:ascii="Arial" w:eastAsia="Arial" w:hAnsi="Arial" w:cs="Arial"/>
                <w:b/>
                <w:sz w:val="22"/>
                <w:szCs w:val="22"/>
              </w:rPr>
              <w:t xml:space="preserve">ARTÍCULO 9. USO DE EVIDENCIA, SEGUIMIENTO Y MEJORAMIENTO. </w:t>
            </w:r>
            <w:r>
              <w:rPr>
                <w:rFonts w:ascii="Arial" w:eastAsia="Arial" w:hAnsi="Arial" w:cs="Arial"/>
                <w:sz w:val="22"/>
                <w:szCs w:val="22"/>
              </w:rPr>
              <w:t xml:space="preserve">Los programas, proyectos y estrategias distritales dirigidos a la prevención del reclutamiento, utilización, usó, violencia y explotación sexual en contra de NNAJ incorporarán, de manera transversal, el uso de buenas prácticas nacionales e internacionales verificadas, así como el análisis de las realidades territoriales y </w:t>
            </w:r>
            <w:r>
              <w:rPr>
                <w:rFonts w:ascii="Arial" w:eastAsia="Arial" w:hAnsi="Arial" w:cs="Arial"/>
                <w:sz w:val="22"/>
                <w:szCs w:val="22"/>
              </w:rPr>
              <w:lastRenderedPageBreak/>
              <w:t>comunitarias, con el fin de garantizar que las acciones sean pertinentes, efectivas y ajustadas a las necesidades de cada contexto.</w:t>
            </w:r>
          </w:p>
          <w:p w:rsidR="003D01F5" w:rsidRDefault="000D1D32">
            <w:pPr>
              <w:spacing w:before="240" w:after="240"/>
              <w:jc w:val="both"/>
              <w:rPr>
                <w:rFonts w:ascii="Arial" w:eastAsia="Arial" w:hAnsi="Arial" w:cs="Arial"/>
                <w:b/>
                <w:sz w:val="22"/>
                <w:szCs w:val="22"/>
              </w:rPr>
            </w:pPr>
            <w:r>
              <w:rPr>
                <w:rFonts w:ascii="Arial" w:eastAsia="Arial" w:hAnsi="Arial" w:cs="Arial"/>
                <w:sz w:val="22"/>
                <w:szCs w:val="22"/>
              </w:rPr>
              <w:t>Estas acciones buscarán identificar los resultados esperados y contarán con mecanismos de seguimiento y verificación que permitirán orientar la mejora continua de las acciones implementadas, asegurando su efectividad y pertinencia en el tiempo.</w:t>
            </w:r>
          </w:p>
        </w:tc>
        <w:tc>
          <w:tcPr>
            <w:tcW w:w="3119" w:type="dxa"/>
          </w:tcPr>
          <w:p w:rsidR="003D01F5" w:rsidRDefault="000D1D32">
            <w:pPr>
              <w:spacing w:before="240" w:after="240"/>
              <w:jc w:val="both"/>
              <w:rPr>
                <w:rFonts w:ascii="Arial" w:eastAsia="Arial" w:hAnsi="Arial" w:cs="Arial"/>
                <w:sz w:val="22"/>
                <w:szCs w:val="22"/>
              </w:rPr>
            </w:pPr>
            <w:r>
              <w:rPr>
                <w:rFonts w:ascii="Arial" w:eastAsia="Arial" w:hAnsi="Arial" w:cs="Arial"/>
                <w:b/>
                <w:sz w:val="22"/>
                <w:szCs w:val="22"/>
              </w:rPr>
              <w:lastRenderedPageBreak/>
              <w:t xml:space="preserve">ARTÍCULO 9. USO DE EVIDENCIA, SEGUIMIENTO Y MEJORAMIENTO. </w:t>
            </w:r>
            <w:r>
              <w:rPr>
                <w:rFonts w:ascii="Arial" w:eastAsia="Arial" w:hAnsi="Arial" w:cs="Arial"/>
                <w:sz w:val="22"/>
                <w:szCs w:val="22"/>
              </w:rPr>
              <w:t xml:space="preserve">Los programas, proyectos y estrategias distritales dirigidos a la prevención del reclutamiento, utilización, usó, violencia y explotación sexual en contra de NNAJ incorporarán, de manera transversal, el uso de buenas prácticas nacionales e internacionales verificadas, así como el análisis de las realidades territoriales y </w:t>
            </w:r>
            <w:r>
              <w:rPr>
                <w:rFonts w:ascii="Arial" w:eastAsia="Arial" w:hAnsi="Arial" w:cs="Arial"/>
                <w:sz w:val="22"/>
                <w:szCs w:val="22"/>
              </w:rPr>
              <w:lastRenderedPageBreak/>
              <w:t>comunitarias, con el fin de garantizar que las acciones sean pertinentes, efectivas y ajustadas a las necesidades de cada contexto.</w:t>
            </w:r>
          </w:p>
          <w:p w:rsidR="003D01F5" w:rsidRDefault="000D1D32">
            <w:pPr>
              <w:spacing w:before="240" w:after="240"/>
              <w:jc w:val="both"/>
              <w:rPr>
                <w:rFonts w:ascii="Arial" w:eastAsia="Arial" w:hAnsi="Arial" w:cs="Arial"/>
                <w:b/>
                <w:sz w:val="22"/>
                <w:szCs w:val="22"/>
              </w:rPr>
            </w:pPr>
            <w:r>
              <w:rPr>
                <w:rFonts w:ascii="Arial" w:eastAsia="Arial" w:hAnsi="Arial" w:cs="Arial"/>
                <w:sz w:val="22"/>
                <w:szCs w:val="22"/>
              </w:rPr>
              <w:t>Estas acciones buscarán identificar los resultados esperados y contarán con mecanismos de seguimiento y verificación que permitirán orientar la mejora continua de las acciones implementadas, asegurando su efectividad y pertinencia en el tiempo.</w:t>
            </w:r>
          </w:p>
        </w:tc>
        <w:tc>
          <w:tcPr>
            <w:tcW w:w="2871" w:type="dxa"/>
          </w:tcPr>
          <w:p w:rsidR="003D01F5" w:rsidRDefault="000D1D32">
            <w:pPr>
              <w:jc w:val="both"/>
              <w:rPr>
                <w:rFonts w:ascii="Arial" w:eastAsia="Arial" w:hAnsi="Arial" w:cs="Arial"/>
                <w:sz w:val="22"/>
                <w:szCs w:val="22"/>
              </w:rPr>
            </w:pPr>
            <w:r>
              <w:rPr>
                <w:rFonts w:ascii="Arial" w:eastAsia="Arial" w:hAnsi="Arial" w:cs="Arial"/>
                <w:sz w:val="22"/>
                <w:szCs w:val="22"/>
              </w:rPr>
              <w:lastRenderedPageBreak/>
              <w:t>No se modifica el artículo.</w:t>
            </w:r>
          </w:p>
        </w:tc>
      </w:tr>
      <w:tr w:rsidR="003D01F5">
        <w:trPr>
          <w:trHeight w:val="402"/>
        </w:trPr>
        <w:tc>
          <w:tcPr>
            <w:tcW w:w="3100" w:type="dxa"/>
          </w:tcPr>
          <w:p w:rsidR="003D01F5" w:rsidRDefault="000D1D32">
            <w:pPr>
              <w:jc w:val="both"/>
              <w:rPr>
                <w:rFonts w:ascii="Arial" w:eastAsia="Arial" w:hAnsi="Arial" w:cs="Arial"/>
                <w:b/>
                <w:sz w:val="22"/>
                <w:szCs w:val="22"/>
              </w:rPr>
            </w:pPr>
            <w:r>
              <w:rPr>
                <w:rFonts w:ascii="Arial" w:eastAsia="Arial" w:hAnsi="Arial" w:cs="Arial"/>
                <w:b/>
                <w:sz w:val="22"/>
                <w:szCs w:val="22"/>
                <w:highlight w:val="white"/>
              </w:rPr>
              <w:lastRenderedPageBreak/>
              <w:t xml:space="preserve">ARTÍCULO 10. REGLAMENTACIÓN. </w:t>
            </w:r>
            <w:r>
              <w:rPr>
                <w:rFonts w:ascii="Arial" w:eastAsia="Arial" w:hAnsi="Arial" w:cs="Arial"/>
                <w:sz w:val="22"/>
                <w:szCs w:val="22"/>
                <w:highlight w:val="white"/>
              </w:rPr>
              <w:t>La Administración Distrital, en el ejercicio de sus competencias y facultades legales, reglamentará dentro de los seis (6) meses siguientes a la sanción del presente Acuerdo, lo concerniente a la elaboración del protocolo, inclusión del componente de prevención en los programas, proyectos y estrategias dirigidos a NNAJ; capacitación de funcionarios públicos y contratistas y los demás aspectos que considere necesarios para el propósito de prevenir el reclutamiento, utilización, uso, violencia y explotación sexual de NNAJ en Bogotá D.C.</w:t>
            </w:r>
          </w:p>
        </w:tc>
        <w:tc>
          <w:tcPr>
            <w:tcW w:w="3119" w:type="dxa"/>
          </w:tcPr>
          <w:p w:rsidR="003D01F5" w:rsidRDefault="000D1D32">
            <w:pPr>
              <w:jc w:val="both"/>
              <w:rPr>
                <w:rFonts w:ascii="Arial" w:eastAsia="Arial" w:hAnsi="Arial" w:cs="Arial"/>
                <w:b/>
                <w:sz w:val="22"/>
                <w:szCs w:val="22"/>
              </w:rPr>
            </w:pPr>
            <w:r>
              <w:rPr>
                <w:rFonts w:ascii="Arial" w:eastAsia="Arial" w:hAnsi="Arial" w:cs="Arial"/>
                <w:b/>
                <w:sz w:val="22"/>
                <w:szCs w:val="22"/>
                <w:highlight w:val="white"/>
              </w:rPr>
              <w:t xml:space="preserve">ARTÍCULO 10. REGLAMENTACIÓN. </w:t>
            </w:r>
            <w:r>
              <w:rPr>
                <w:rFonts w:ascii="Arial" w:eastAsia="Arial" w:hAnsi="Arial" w:cs="Arial"/>
                <w:sz w:val="22"/>
                <w:szCs w:val="22"/>
                <w:highlight w:val="white"/>
              </w:rPr>
              <w:t>La Administración Distrital, en el ejercicio de sus competencias y facultades legales, reglamentará dentro de los seis (6) meses siguientes a la sanción del presente Acuerdo, lo concerniente a la elaboración del protocolo, inclusión del componente de prevención en los programas, proyectos y estrategias dirigidos a NNAJ; capacitación de funcionarios públicos y contratistas y los demás aspectos que considere necesarios para el propósito de prevenir el reclutamiento, utilización, uso, violencia y explotación sexual de NNAJ en Bogotá D.C.</w:t>
            </w:r>
          </w:p>
        </w:tc>
        <w:tc>
          <w:tcPr>
            <w:tcW w:w="2871" w:type="dxa"/>
          </w:tcPr>
          <w:p w:rsidR="003D01F5" w:rsidRDefault="000D1D32">
            <w:pPr>
              <w:jc w:val="both"/>
              <w:rPr>
                <w:rFonts w:ascii="Arial" w:eastAsia="Arial" w:hAnsi="Arial" w:cs="Arial"/>
                <w:sz w:val="22"/>
                <w:szCs w:val="22"/>
              </w:rPr>
            </w:pPr>
            <w:r>
              <w:rPr>
                <w:rFonts w:ascii="Arial" w:eastAsia="Arial" w:hAnsi="Arial" w:cs="Arial"/>
                <w:sz w:val="22"/>
                <w:szCs w:val="22"/>
              </w:rPr>
              <w:t>No se modifica el artículo.</w:t>
            </w:r>
          </w:p>
        </w:tc>
      </w:tr>
      <w:tr w:rsidR="003D01F5">
        <w:trPr>
          <w:trHeight w:val="402"/>
        </w:trPr>
        <w:tc>
          <w:tcPr>
            <w:tcW w:w="3100" w:type="dxa"/>
          </w:tcPr>
          <w:p w:rsidR="003D01F5" w:rsidRDefault="000D1D32">
            <w:pPr>
              <w:jc w:val="both"/>
              <w:rPr>
                <w:rFonts w:ascii="Arial" w:eastAsia="Arial" w:hAnsi="Arial" w:cs="Arial"/>
                <w:b/>
                <w:sz w:val="22"/>
                <w:szCs w:val="22"/>
                <w:highlight w:val="white"/>
              </w:rPr>
            </w:pPr>
            <w:r>
              <w:rPr>
                <w:rFonts w:ascii="Arial" w:eastAsia="Arial" w:hAnsi="Arial" w:cs="Arial"/>
                <w:b/>
                <w:sz w:val="22"/>
                <w:szCs w:val="22"/>
              </w:rPr>
              <w:t xml:space="preserve">ARTÍCULO 11. VIGENCIA. </w:t>
            </w:r>
            <w:r>
              <w:rPr>
                <w:rFonts w:ascii="Arial" w:eastAsia="Arial" w:hAnsi="Arial" w:cs="Arial"/>
                <w:sz w:val="22"/>
                <w:szCs w:val="22"/>
              </w:rPr>
              <w:t xml:space="preserve">El presente Acuerdo rige a partir de su aprobación. </w:t>
            </w:r>
          </w:p>
        </w:tc>
        <w:tc>
          <w:tcPr>
            <w:tcW w:w="3119" w:type="dxa"/>
          </w:tcPr>
          <w:p w:rsidR="003D01F5" w:rsidRDefault="000D1D32">
            <w:pPr>
              <w:jc w:val="both"/>
              <w:rPr>
                <w:rFonts w:ascii="Arial" w:eastAsia="Arial" w:hAnsi="Arial" w:cs="Arial"/>
                <w:b/>
                <w:sz w:val="22"/>
                <w:szCs w:val="22"/>
                <w:highlight w:val="white"/>
              </w:rPr>
            </w:pPr>
            <w:r>
              <w:rPr>
                <w:rFonts w:ascii="Arial" w:eastAsia="Arial" w:hAnsi="Arial" w:cs="Arial"/>
                <w:b/>
                <w:sz w:val="22"/>
                <w:szCs w:val="22"/>
              </w:rPr>
              <w:t xml:space="preserve">ARTÍCULO 11. VIGENCIA. </w:t>
            </w:r>
            <w:r>
              <w:rPr>
                <w:rFonts w:ascii="Arial" w:eastAsia="Arial" w:hAnsi="Arial" w:cs="Arial"/>
                <w:sz w:val="22"/>
                <w:szCs w:val="22"/>
              </w:rPr>
              <w:t xml:space="preserve">El presente Acuerdo rige a partir de su aprobación. </w:t>
            </w:r>
          </w:p>
        </w:tc>
        <w:tc>
          <w:tcPr>
            <w:tcW w:w="2871" w:type="dxa"/>
          </w:tcPr>
          <w:p w:rsidR="003D01F5" w:rsidRDefault="000D1D32">
            <w:pPr>
              <w:jc w:val="both"/>
              <w:rPr>
                <w:rFonts w:ascii="Arial" w:eastAsia="Arial" w:hAnsi="Arial" w:cs="Arial"/>
                <w:sz w:val="22"/>
                <w:szCs w:val="22"/>
              </w:rPr>
            </w:pPr>
            <w:r>
              <w:rPr>
                <w:rFonts w:ascii="Arial" w:eastAsia="Arial" w:hAnsi="Arial" w:cs="Arial"/>
                <w:sz w:val="22"/>
                <w:szCs w:val="22"/>
              </w:rPr>
              <w:t xml:space="preserve">No se modifica el artículo. </w:t>
            </w:r>
          </w:p>
        </w:tc>
      </w:tr>
    </w:tbl>
    <w:p w:rsidR="003D01F5" w:rsidRDefault="003D01F5">
      <w:pPr>
        <w:jc w:val="both"/>
        <w:rPr>
          <w:rFonts w:ascii="Arial" w:eastAsia="Arial" w:hAnsi="Arial" w:cs="Arial"/>
          <w:b/>
          <w:sz w:val="22"/>
          <w:szCs w:val="22"/>
        </w:rPr>
      </w:pPr>
    </w:p>
    <w:p w:rsidR="003D01F5" w:rsidRDefault="000D1D32">
      <w:pPr>
        <w:jc w:val="both"/>
        <w:rPr>
          <w:rFonts w:ascii="Arial" w:eastAsia="Arial" w:hAnsi="Arial" w:cs="Arial"/>
          <w:b/>
          <w:sz w:val="22"/>
          <w:szCs w:val="22"/>
        </w:rPr>
      </w:pPr>
      <w:r>
        <w:rPr>
          <w:rFonts w:ascii="Arial" w:eastAsia="Arial" w:hAnsi="Arial" w:cs="Arial"/>
          <w:b/>
          <w:sz w:val="22"/>
          <w:szCs w:val="22"/>
        </w:rPr>
        <w:t>IX. TEXTO PROPUESTO PARA PRIMER DEBATE CON MODIFICACIONES</w:t>
      </w:r>
    </w:p>
    <w:p w:rsidR="003D01F5" w:rsidRDefault="000D1D32">
      <w:pPr>
        <w:jc w:val="center"/>
        <w:rPr>
          <w:rFonts w:ascii="Arial" w:eastAsia="Arial" w:hAnsi="Arial" w:cs="Arial"/>
          <w:b/>
          <w:sz w:val="22"/>
          <w:szCs w:val="22"/>
        </w:rPr>
      </w:pPr>
      <w:r>
        <w:rPr>
          <w:rFonts w:ascii="Arial" w:eastAsia="Arial" w:hAnsi="Arial" w:cs="Arial"/>
          <w:b/>
          <w:sz w:val="22"/>
          <w:szCs w:val="22"/>
        </w:rPr>
        <w:t>Proyecto de Acuerdo Nº 464 de 2025</w:t>
      </w:r>
    </w:p>
    <w:p w:rsidR="003D01F5" w:rsidRDefault="003D01F5">
      <w:pPr>
        <w:jc w:val="center"/>
        <w:rPr>
          <w:rFonts w:ascii="Arial" w:eastAsia="Arial" w:hAnsi="Arial" w:cs="Arial"/>
          <w:b/>
          <w:sz w:val="22"/>
          <w:szCs w:val="22"/>
        </w:rPr>
      </w:pPr>
    </w:p>
    <w:p w:rsidR="003D01F5" w:rsidRDefault="000D1D32">
      <w:pPr>
        <w:jc w:val="center"/>
        <w:rPr>
          <w:rFonts w:ascii="Arial" w:eastAsia="Arial" w:hAnsi="Arial" w:cs="Arial"/>
          <w:b/>
          <w:sz w:val="22"/>
          <w:szCs w:val="22"/>
          <w:highlight w:val="white"/>
        </w:rPr>
      </w:pPr>
      <w:r>
        <w:rPr>
          <w:rFonts w:ascii="Arial" w:eastAsia="Arial" w:hAnsi="Arial" w:cs="Arial"/>
          <w:b/>
          <w:sz w:val="22"/>
          <w:szCs w:val="22"/>
          <w:highlight w:val="white"/>
        </w:rPr>
        <w:lastRenderedPageBreak/>
        <w:t>“Por medio del cual se establecen lineamientos para la Prevención del Reclutamiento, Utilización, Usó, Violencia y Explotación Sexual en contra de Niños, Niñas, Adolescentes y Jóvenes (NNAJ) por parte de Grupos Armados Organizados (GAO) y Grupos Delictivos Organizados (GDO) en el Distrito Capital”</w:t>
      </w:r>
    </w:p>
    <w:p w:rsidR="003D01F5" w:rsidRDefault="003D01F5">
      <w:pPr>
        <w:jc w:val="center"/>
        <w:rPr>
          <w:rFonts w:ascii="Arial" w:eastAsia="Arial" w:hAnsi="Arial" w:cs="Arial"/>
          <w:b/>
          <w:sz w:val="22"/>
          <w:szCs w:val="22"/>
          <w:highlight w:val="white"/>
        </w:rPr>
      </w:pPr>
    </w:p>
    <w:p w:rsidR="003D01F5" w:rsidRDefault="000D1D32">
      <w:pPr>
        <w:jc w:val="center"/>
        <w:rPr>
          <w:rFonts w:ascii="Arial" w:eastAsia="Arial" w:hAnsi="Arial" w:cs="Arial"/>
          <w:b/>
          <w:sz w:val="22"/>
          <w:szCs w:val="22"/>
        </w:rPr>
      </w:pPr>
      <w:r>
        <w:rPr>
          <w:rFonts w:ascii="Arial" w:eastAsia="Arial" w:hAnsi="Arial" w:cs="Arial"/>
          <w:b/>
          <w:sz w:val="22"/>
          <w:szCs w:val="22"/>
        </w:rPr>
        <w:t>EL CONCEJO DE BOGOTÁ D.C.,</w:t>
      </w:r>
    </w:p>
    <w:p w:rsidR="003D01F5" w:rsidRDefault="000D1D32">
      <w:pPr>
        <w:jc w:val="center"/>
        <w:rPr>
          <w:rFonts w:ascii="Arial" w:eastAsia="Arial" w:hAnsi="Arial" w:cs="Arial"/>
          <w:b/>
          <w:sz w:val="22"/>
          <w:szCs w:val="22"/>
        </w:rPr>
      </w:pPr>
      <w:r>
        <w:rPr>
          <w:rFonts w:ascii="Arial" w:eastAsia="Arial" w:hAnsi="Arial" w:cs="Arial"/>
          <w:b/>
          <w:sz w:val="22"/>
          <w:szCs w:val="22"/>
        </w:rPr>
        <w:t>En uso de sus facultades constitucionales y legales, en especial las conferidas por el numeral 1, 13 y 25 del artículo 12 del Decreto Ley 1421 de 1993</w:t>
      </w:r>
    </w:p>
    <w:p w:rsidR="003D01F5" w:rsidRDefault="000D1D32">
      <w:pPr>
        <w:jc w:val="both"/>
        <w:rPr>
          <w:rFonts w:ascii="Arial" w:eastAsia="Arial" w:hAnsi="Arial" w:cs="Arial"/>
          <w:sz w:val="22"/>
          <w:szCs w:val="22"/>
        </w:rPr>
      </w:pPr>
      <w:r>
        <w:rPr>
          <w:rFonts w:ascii="Arial" w:eastAsia="Arial" w:hAnsi="Arial" w:cs="Arial"/>
          <w:sz w:val="22"/>
          <w:szCs w:val="22"/>
        </w:rPr>
        <w:br/>
      </w:r>
    </w:p>
    <w:p w:rsidR="003D01F5" w:rsidRDefault="000D1D32">
      <w:pPr>
        <w:spacing w:before="240" w:after="240"/>
        <w:jc w:val="both"/>
        <w:rPr>
          <w:rFonts w:ascii="Arial" w:eastAsia="Arial" w:hAnsi="Arial" w:cs="Arial"/>
          <w:sz w:val="22"/>
          <w:szCs w:val="22"/>
        </w:rPr>
      </w:pPr>
      <w:r>
        <w:rPr>
          <w:rFonts w:ascii="Arial" w:eastAsia="Arial" w:hAnsi="Arial" w:cs="Arial"/>
          <w:b/>
          <w:sz w:val="22"/>
          <w:szCs w:val="22"/>
        </w:rPr>
        <w:t>ARTÍCULO 1. OBJETO.</w:t>
      </w:r>
      <w:r>
        <w:rPr>
          <w:rFonts w:ascii="Arial" w:eastAsia="Arial" w:hAnsi="Arial" w:cs="Arial"/>
          <w:sz w:val="22"/>
          <w:szCs w:val="22"/>
        </w:rPr>
        <w:t xml:space="preserve"> El presente Proyecto Acuerdo tiene por objeto establecer lineamientos distritales para la prevención del reclutamiento, utilización, usó, violencia y explotación sexual de niños, niñas, adolescentes y jóvenes (NNAJ) por parte de grupos armados organizados (GAO) y grupos delictivos organizados (GDO) en Bogotá D.C., en el marco de la Política Pública de Primera Infancia, Infancia y Adolescencia 2023–2033, la Política Pública Distrital de Juventud 2019–2030, y demás normas que las sustituyan, modifiquen o actualicen.</w:t>
      </w:r>
    </w:p>
    <w:p w:rsidR="003D01F5" w:rsidRDefault="000D1D32">
      <w:pPr>
        <w:spacing w:before="240" w:after="240"/>
        <w:jc w:val="both"/>
        <w:rPr>
          <w:rFonts w:ascii="Arial" w:eastAsia="Arial" w:hAnsi="Arial" w:cs="Arial"/>
          <w:b/>
          <w:sz w:val="22"/>
          <w:szCs w:val="22"/>
        </w:rPr>
      </w:pPr>
      <w:r>
        <w:rPr>
          <w:rFonts w:ascii="Arial" w:eastAsia="Arial" w:hAnsi="Arial" w:cs="Arial"/>
          <w:sz w:val="22"/>
          <w:szCs w:val="22"/>
        </w:rPr>
        <w:t>Estas acciones se desarrollarán mediante la identificación temprana de riesgos, la promoción de entornos protectores, la articulación interinstitucional y el diseño de estrategias de monitoreo y evaluación con enfoque diferencial y territorial. Se propenderá por la aplicación de las mejores prácticas nacionales e internacionales, sustentadas en evidencia rigurosa y principios de acción sin daño.</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b/>
          <w:sz w:val="22"/>
          <w:szCs w:val="22"/>
        </w:rPr>
        <w:t>ARTÍCULO 2. DEFINICIONES.</w:t>
      </w:r>
      <w:r>
        <w:rPr>
          <w:rFonts w:ascii="Arial" w:eastAsia="Arial" w:hAnsi="Arial" w:cs="Arial"/>
          <w:sz w:val="22"/>
          <w:szCs w:val="22"/>
        </w:rPr>
        <w:t xml:space="preserve"> Para efectos del presente Acuerdo y su reglamentación, se tendrán en cuenta las siguientes definiciones, algunas de ellas dispuestas en la Línea de Política Pública de Prevención del Reclutamiento, Utilización, Uso y Violencia Sexual contra NNA por parte de GAO y GDO del Ministerio de Justicia. </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b/>
          <w:sz w:val="22"/>
          <w:szCs w:val="22"/>
        </w:rPr>
        <w:t>a. Reclutamiento de NNAJ:</w:t>
      </w:r>
      <w:r>
        <w:rPr>
          <w:rFonts w:ascii="Arial" w:eastAsia="Arial" w:hAnsi="Arial" w:cs="Arial"/>
          <w:sz w:val="22"/>
          <w:szCs w:val="22"/>
        </w:rPr>
        <w:t xml:space="preserve"> Separación física del entorno familiar y comunitario para la participación directa de NNAJ en actividades bélicas, militares o tácticas, de sustento o cualquier otro rol en relación con los combatientes de los GAO y GDO. En el Auto 251 de 2008, la Corte Constitucional señaló que todo reclutamiento es un acto de carácter coercitivo. El Código Penal Colombiano, en su artículo 162, tipifica esta conducta como el delito de “reclutamiento ilícito”.</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b/>
          <w:sz w:val="22"/>
          <w:szCs w:val="22"/>
        </w:rPr>
        <w:t>b. Utilización de NNAJ:</w:t>
      </w:r>
      <w:r>
        <w:rPr>
          <w:rFonts w:ascii="Arial" w:eastAsia="Arial" w:hAnsi="Arial" w:cs="Arial"/>
          <w:sz w:val="22"/>
          <w:szCs w:val="22"/>
        </w:rPr>
        <w:t xml:space="preserve"> Participación indirecta de NNAJ en otras formas de vinculación, sea permanente u ocasional, en los GAO o GDO sin ser separados de su entorno familiar y comunitario, y que están relacionadas directamente con diferentes fines, sean de carácter ilegal o informal.</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b/>
          <w:sz w:val="22"/>
          <w:szCs w:val="22"/>
        </w:rPr>
        <w:t>c. Uso de NNAJ:</w:t>
      </w:r>
      <w:r>
        <w:rPr>
          <w:rFonts w:ascii="Arial" w:eastAsia="Arial" w:hAnsi="Arial" w:cs="Arial"/>
          <w:sz w:val="22"/>
          <w:szCs w:val="22"/>
        </w:rPr>
        <w:t xml:space="preserve"> Prácticas o comportamientos de quien induzca, facilite, utilice, constriña, promueva o instrumentalice a los NNAJ para que intervengan en cualquier actividad ilegal de los GAO o GDO, recurriendo a cualquier forma de violencia, amenaza, coerción o </w:t>
      </w:r>
      <w:r>
        <w:rPr>
          <w:rFonts w:ascii="Arial" w:eastAsia="Arial" w:hAnsi="Arial" w:cs="Arial"/>
          <w:sz w:val="22"/>
          <w:szCs w:val="22"/>
        </w:rPr>
        <w:lastRenderedPageBreak/>
        <w:t>engaño que conlleve a la vulneración o falta de garantía de sus derechos, con el propósito de obtener provecho económico o cualquier otro beneficio. El Código Penal Colombiano, en su artículo 188 D, tipifica esta conducta como el delito de “uso de menores de edad para la comisión de delitos”.</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b/>
          <w:sz w:val="22"/>
          <w:szCs w:val="22"/>
        </w:rPr>
        <w:t>d. Violencia sexual contra NNAJ:</w:t>
      </w:r>
      <w:r>
        <w:rPr>
          <w:rFonts w:ascii="Arial" w:eastAsia="Arial" w:hAnsi="Arial" w:cs="Arial"/>
          <w:sz w:val="22"/>
          <w:szCs w:val="22"/>
        </w:rPr>
        <w:t xml:space="preserve"> En concordancia con el artículo 2° de la Ley 1146 de 2007, es todo acto o comportamiento de tipo sexual ejercido sobre un NNA, utilizando la fuerza o cualquier forma de coerción física, psicológica o emocional, aprovechando las condiciones de indefensión, de desigualdad y las relaciones de poder existentes entre víctima y agresor, particularmente la ejercida por GAO y GDO. </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sz w:val="22"/>
          <w:szCs w:val="22"/>
        </w:rPr>
        <w:t xml:space="preserve">La Corte Constitucional en el Auto 092 de 2008 identifica que la violencia sexual contra jóvenes y niñas reclutadas por los GAO “incluye en forma reiterada y sistemática: (i) la violación, (ii) la planificación reproductiva forzada, (iii) la esclavización y explotación sexual, (iv) la prostitución forzada, (v) el abuso sexual, (vi) la esclavización sexual por parte de los jefes o comandantes, (vii) el embarazo forzado, (viii) el aborto forzado y (ix) el contagio de infecciones de transmisión sexual”. </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b/>
          <w:sz w:val="22"/>
          <w:szCs w:val="22"/>
        </w:rPr>
        <w:t xml:space="preserve">e. Explotación sexual de NNAJ: </w:t>
      </w:r>
      <w:r>
        <w:rPr>
          <w:rFonts w:ascii="Arial" w:eastAsia="Arial" w:hAnsi="Arial" w:cs="Arial"/>
          <w:sz w:val="22"/>
          <w:szCs w:val="22"/>
        </w:rPr>
        <w:t>Comprende el abuso sexual por parte de adultos y la remuneración en metálico o en especie a los NNAJ y a terceros. El NNAJ es tratado como un objeto sexual y una mercancía. La explotación sexual comercial constituye una forma de coerción y violencia contra esta población. Este delito se encuentra tipificado en el capítulo IV del Código Penal Colombiano.</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b/>
          <w:sz w:val="22"/>
          <w:szCs w:val="22"/>
        </w:rPr>
        <w:t xml:space="preserve">ARTÍCULO  3. ENFOQUES. </w:t>
      </w:r>
      <w:r>
        <w:rPr>
          <w:rFonts w:ascii="Arial" w:eastAsia="Arial" w:hAnsi="Arial" w:cs="Arial"/>
          <w:sz w:val="22"/>
          <w:szCs w:val="22"/>
        </w:rPr>
        <w:t xml:space="preserve">Los lineamientos promovidos por el presente Acuerdo contarán con los siguientes enfoques, algunos de ellos dispuestos en la Línea de Política Pública de Prevención del Reclutamiento, Utilización, Uso y Violencia Sexual contra NNA por parte de GAO y GDO del Ministerio de Justicia. </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b/>
          <w:sz w:val="22"/>
          <w:szCs w:val="22"/>
        </w:rPr>
        <w:t>a. Acción sin daño:</w:t>
      </w:r>
      <w:r>
        <w:rPr>
          <w:rFonts w:ascii="Arial" w:eastAsia="Arial" w:hAnsi="Arial" w:cs="Arial"/>
          <w:sz w:val="22"/>
          <w:szCs w:val="22"/>
        </w:rPr>
        <w:t xml:space="preserve"> Conjunto de acciones que previenen la </w:t>
      </w:r>
      <w:proofErr w:type="spellStart"/>
      <w:r>
        <w:rPr>
          <w:rFonts w:ascii="Arial" w:eastAsia="Arial" w:hAnsi="Arial" w:cs="Arial"/>
          <w:sz w:val="22"/>
          <w:szCs w:val="22"/>
        </w:rPr>
        <w:t>retraumatización</w:t>
      </w:r>
      <w:proofErr w:type="spellEnd"/>
      <w:r>
        <w:rPr>
          <w:rFonts w:ascii="Arial" w:eastAsia="Arial" w:hAnsi="Arial" w:cs="Arial"/>
          <w:sz w:val="22"/>
          <w:szCs w:val="22"/>
        </w:rPr>
        <w:t xml:space="preserve"> y la </w:t>
      </w:r>
      <w:proofErr w:type="spellStart"/>
      <w:r>
        <w:rPr>
          <w:rFonts w:ascii="Arial" w:eastAsia="Arial" w:hAnsi="Arial" w:cs="Arial"/>
          <w:sz w:val="22"/>
          <w:szCs w:val="22"/>
        </w:rPr>
        <w:t>revictimización</w:t>
      </w:r>
      <w:proofErr w:type="spellEnd"/>
      <w:r>
        <w:rPr>
          <w:rFonts w:ascii="Arial" w:eastAsia="Arial" w:hAnsi="Arial" w:cs="Arial"/>
          <w:sz w:val="22"/>
          <w:szCs w:val="22"/>
        </w:rPr>
        <w:t>, cuidando que al NNAJ atendido no se le generen más lesiones emocionales a través de la intervención.</w:t>
      </w:r>
    </w:p>
    <w:p w:rsidR="003D01F5" w:rsidRDefault="003D01F5">
      <w:pPr>
        <w:jc w:val="both"/>
        <w:rPr>
          <w:rFonts w:ascii="Arial" w:eastAsia="Arial" w:hAnsi="Arial" w:cs="Arial"/>
          <w:b/>
          <w:sz w:val="22"/>
          <w:szCs w:val="22"/>
        </w:rPr>
      </w:pPr>
    </w:p>
    <w:p w:rsidR="003D01F5" w:rsidRDefault="000D1D32">
      <w:pPr>
        <w:jc w:val="both"/>
        <w:rPr>
          <w:rFonts w:ascii="Arial" w:eastAsia="Arial" w:hAnsi="Arial" w:cs="Arial"/>
          <w:sz w:val="22"/>
          <w:szCs w:val="22"/>
        </w:rPr>
      </w:pPr>
      <w:r>
        <w:rPr>
          <w:rFonts w:ascii="Arial" w:eastAsia="Arial" w:hAnsi="Arial" w:cs="Arial"/>
          <w:b/>
          <w:sz w:val="22"/>
          <w:szCs w:val="22"/>
        </w:rPr>
        <w:t xml:space="preserve">b. Comunitario: </w:t>
      </w:r>
      <w:r>
        <w:rPr>
          <w:rFonts w:ascii="Arial" w:eastAsia="Arial" w:hAnsi="Arial" w:cs="Arial"/>
          <w:sz w:val="22"/>
          <w:szCs w:val="22"/>
        </w:rPr>
        <w:t>Está dirigido a reforzar y expandir las redes comunitarias territoriales existentes y alentar la participación sustantiva de las comunidades en la toma de decisiones para el fortalecimiento de la identidad del bienestar colectivo y la prevención del reclutamiento, utilización, usó, violencia y explotación sexual en NNAJ.</w:t>
      </w:r>
      <w:r>
        <w:rPr>
          <w:rFonts w:ascii="Arial" w:eastAsia="Arial" w:hAnsi="Arial" w:cs="Arial"/>
          <w:sz w:val="22"/>
          <w:szCs w:val="22"/>
        </w:rPr>
        <w:br/>
      </w:r>
    </w:p>
    <w:p w:rsidR="003D01F5" w:rsidRDefault="000D1D32">
      <w:pPr>
        <w:jc w:val="both"/>
        <w:rPr>
          <w:rFonts w:ascii="Arial" w:eastAsia="Arial" w:hAnsi="Arial" w:cs="Arial"/>
          <w:sz w:val="22"/>
          <w:szCs w:val="22"/>
        </w:rPr>
      </w:pPr>
      <w:r>
        <w:rPr>
          <w:rFonts w:ascii="Arial" w:eastAsia="Arial" w:hAnsi="Arial" w:cs="Arial"/>
          <w:b/>
          <w:sz w:val="22"/>
          <w:szCs w:val="22"/>
        </w:rPr>
        <w:t>c. Derechos Humanos:</w:t>
      </w:r>
      <w:r>
        <w:rPr>
          <w:rFonts w:ascii="Arial" w:eastAsia="Arial" w:hAnsi="Arial" w:cs="Arial"/>
          <w:sz w:val="22"/>
          <w:szCs w:val="22"/>
        </w:rPr>
        <w:t xml:space="preserve"> Las actuaciones deberán observar la prevención, protección, promoción, garantía, restablecimiento y el goce efectivo de los derechos de los NNAJ, sin discriminación por razones de sexo, pertenencia étnica, edad, discapacidad, orientación sexual, identidad de género o ser víctima del conflicto armado, entre otras. Los NNAJ son titulares de derechos y, por lo tanto, pueden exigirlos ante otras personas, las instituciones y el Estado.</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b/>
          <w:sz w:val="22"/>
          <w:szCs w:val="22"/>
        </w:rPr>
        <w:lastRenderedPageBreak/>
        <w:t>d. Diferencial:</w:t>
      </w:r>
      <w:r>
        <w:rPr>
          <w:rFonts w:ascii="Arial" w:eastAsia="Arial" w:hAnsi="Arial" w:cs="Arial"/>
          <w:sz w:val="22"/>
          <w:szCs w:val="22"/>
        </w:rPr>
        <w:t xml:space="preserve"> Reconoce las diversidades, desigualdades e inequidades sociales, culturales y económicas de diferentes grupos humanos en razón de la articulación de categorías y variables como el género, la edad, la etnia, la orientación sexual, la discapacidad, la ubicación en el sector rural o urbano marginal, o estar en situaciones que incrementan las vulnerabilidades como el desplazamiento forzado, entre otros, con el propósito de brindar una adecuada atención basada en las necesidades e intereses particulares y fortalecer el empoderamiento de dichos grupos, así como proteger y garantizar sus derechos humanos.</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b/>
          <w:sz w:val="22"/>
          <w:szCs w:val="22"/>
        </w:rPr>
        <w:t xml:space="preserve">e. </w:t>
      </w:r>
      <w:proofErr w:type="spellStart"/>
      <w:r>
        <w:rPr>
          <w:rFonts w:ascii="Arial" w:eastAsia="Arial" w:hAnsi="Arial" w:cs="Arial"/>
          <w:b/>
          <w:sz w:val="22"/>
          <w:szCs w:val="22"/>
        </w:rPr>
        <w:t>Interseccionalidad</w:t>
      </w:r>
      <w:proofErr w:type="spellEnd"/>
      <w:r>
        <w:rPr>
          <w:rFonts w:ascii="Arial" w:eastAsia="Arial" w:hAnsi="Arial" w:cs="Arial"/>
          <w:b/>
          <w:sz w:val="22"/>
          <w:szCs w:val="22"/>
        </w:rPr>
        <w:t>:</w:t>
      </w:r>
      <w:r>
        <w:rPr>
          <w:rFonts w:ascii="Arial" w:eastAsia="Arial" w:hAnsi="Arial" w:cs="Arial"/>
          <w:sz w:val="22"/>
          <w:szCs w:val="22"/>
        </w:rPr>
        <w:t xml:space="preserve"> Subraya que el género, la etnia, la cultura, el nivel socioeconómico, la orientación sexual, como otras categorías sociales, están interrelacionadas: en un mismo sujeto social pueden cruzarse diversas formas de discriminación. Así, un NNAJ puede estar trazado por diferentes fuentes estructurales de desigualdad (</w:t>
      </w:r>
      <w:proofErr w:type="gramStart"/>
      <w:r>
        <w:rPr>
          <w:rFonts w:ascii="Arial" w:eastAsia="Arial" w:hAnsi="Arial" w:cs="Arial"/>
          <w:sz w:val="22"/>
          <w:szCs w:val="22"/>
        </w:rPr>
        <w:t>como</w:t>
      </w:r>
      <w:proofErr w:type="gramEnd"/>
      <w:r>
        <w:rPr>
          <w:rFonts w:ascii="Arial" w:eastAsia="Arial" w:hAnsi="Arial" w:cs="Arial"/>
          <w:sz w:val="22"/>
          <w:szCs w:val="22"/>
        </w:rPr>
        <w:t xml:space="preserve"> por ejemplo, pertenecer a un grupo étnico, tener una orientación sexual diversa y tener algún grado de discapacidad). </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b/>
          <w:sz w:val="22"/>
          <w:szCs w:val="22"/>
        </w:rPr>
        <w:t>f. Territorial:</w:t>
      </w:r>
      <w:r>
        <w:rPr>
          <w:rFonts w:ascii="Arial" w:eastAsia="Arial" w:hAnsi="Arial" w:cs="Arial"/>
          <w:sz w:val="22"/>
          <w:szCs w:val="22"/>
        </w:rPr>
        <w:t xml:space="preserve"> Brinda orientación integral y diferenciada, basada en el reconocimiento de relaciones entre las diferentes dimensiones del territorio (poblacional, espacial, económica, social, ambiental e institucional) y de los atributos específicos de cada región o ámbito territorial.</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b/>
          <w:sz w:val="22"/>
          <w:szCs w:val="22"/>
        </w:rPr>
        <w:t>ARTÍCULO 4</w:t>
      </w:r>
      <w:r>
        <w:rPr>
          <w:rFonts w:ascii="Arial" w:eastAsia="Arial" w:hAnsi="Arial" w:cs="Arial"/>
          <w:sz w:val="22"/>
          <w:szCs w:val="22"/>
        </w:rPr>
        <w:t xml:space="preserve">. </w:t>
      </w:r>
      <w:r>
        <w:rPr>
          <w:rFonts w:ascii="Arial" w:eastAsia="Arial" w:hAnsi="Arial" w:cs="Arial"/>
          <w:b/>
          <w:sz w:val="22"/>
          <w:szCs w:val="22"/>
        </w:rPr>
        <w:t>COMPETENCIA.</w:t>
      </w:r>
      <w:r>
        <w:rPr>
          <w:rFonts w:ascii="Arial" w:eastAsia="Arial" w:hAnsi="Arial" w:cs="Arial"/>
          <w:sz w:val="22"/>
          <w:szCs w:val="22"/>
        </w:rPr>
        <w:t xml:space="preserve"> La Administración Distrital, en cabeza de las entidades competentes, </w:t>
      </w:r>
      <w:proofErr w:type="gramStart"/>
      <w:r>
        <w:rPr>
          <w:rFonts w:ascii="Arial" w:eastAsia="Arial" w:hAnsi="Arial" w:cs="Arial"/>
          <w:sz w:val="22"/>
          <w:szCs w:val="22"/>
        </w:rPr>
        <w:t>y  en</w:t>
      </w:r>
      <w:proofErr w:type="gramEnd"/>
      <w:r>
        <w:rPr>
          <w:rFonts w:ascii="Arial" w:eastAsia="Arial" w:hAnsi="Arial" w:cs="Arial"/>
          <w:sz w:val="22"/>
          <w:szCs w:val="22"/>
        </w:rPr>
        <w:t xml:space="preserve"> coordinación con autoridades locales, organismos internacionales, organizaciones sociales y comunidades, implementará los lineamientos establecidos en este Acuerdo.</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b/>
          <w:sz w:val="22"/>
          <w:szCs w:val="22"/>
        </w:rPr>
        <w:t xml:space="preserve">PARÁGRAFO. </w:t>
      </w:r>
      <w:r>
        <w:rPr>
          <w:rFonts w:ascii="Arial" w:eastAsia="Arial" w:hAnsi="Arial" w:cs="Arial"/>
          <w:sz w:val="22"/>
          <w:szCs w:val="22"/>
        </w:rPr>
        <w:t>Se propenderá por articular todos los lineamientos y acciones, por lo menos con: la Dirección de Derechos Humanos de la Secretaría Distrital de Gobierno; la Comisión Intersectorial de Acción Integral en Seguridad, Convivencia y Acceso a la Justicia; el Consejo Consultivo Distrital de Niños, Niñas y Adolescentes; el Consejo Distrital de Juventud; la Mesa de Prevención del Reclutamiento, Uso y Utilización de Niños, Niñas y Adolescentes; y el Instituto Colombiano de Bienestar Familiar (ICBF).</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b/>
          <w:sz w:val="22"/>
          <w:szCs w:val="22"/>
        </w:rPr>
        <w:t>ARTÍCULO 5. LINEAMIENTOS.</w:t>
      </w:r>
      <w:r>
        <w:rPr>
          <w:rFonts w:ascii="Arial" w:eastAsia="Arial" w:hAnsi="Arial" w:cs="Arial"/>
          <w:sz w:val="22"/>
          <w:szCs w:val="22"/>
        </w:rPr>
        <w:t xml:space="preserve"> Las acciones de prevención del reclutamiento, utilización, usó, violencia y explotación sexual en contra de NNAJ, se basarán en los lineamientos que se describen en los artículos siguientes.</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b/>
          <w:sz w:val="22"/>
          <w:szCs w:val="22"/>
        </w:rPr>
        <w:t>ARTÍCULO 6. PROTOCOLO.</w:t>
      </w:r>
      <w:r>
        <w:rPr>
          <w:rFonts w:ascii="Arial" w:eastAsia="Arial" w:hAnsi="Arial" w:cs="Arial"/>
          <w:sz w:val="22"/>
          <w:szCs w:val="22"/>
        </w:rPr>
        <w:t xml:space="preserve"> La Administración Distrital creará un protocolo de identificación y actuación específico para abordar de forma integral los factores de riesgo que indiquen amenaza de reclutamiento, utilización, uso, violencia y explotación sexual para los NNAJ, para la prevención de este fenómeno.</w:t>
      </w:r>
      <w:r>
        <w:rPr>
          <w:rFonts w:ascii="Arial" w:eastAsia="Arial" w:hAnsi="Arial" w:cs="Arial"/>
          <w:sz w:val="22"/>
          <w:szCs w:val="22"/>
        </w:rPr>
        <w:br/>
      </w:r>
    </w:p>
    <w:p w:rsidR="003D01F5" w:rsidRDefault="000D1D32">
      <w:pPr>
        <w:jc w:val="both"/>
        <w:rPr>
          <w:rFonts w:ascii="Arial" w:eastAsia="Arial" w:hAnsi="Arial" w:cs="Arial"/>
          <w:sz w:val="22"/>
          <w:szCs w:val="22"/>
        </w:rPr>
      </w:pPr>
      <w:r>
        <w:rPr>
          <w:rFonts w:ascii="Arial" w:eastAsia="Arial" w:hAnsi="Arial" w:cs="Arial"/>
          <w:sz w:val="22"/>
          <w:szCs w:val="22"/>
        </w:rPr>
        <w:t>El protocolo desarrollará, entre otras, las siguientes acciones:</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b/>
          <w:sz w:val="22"/>
          <w:szCs w:val="22"/>
        </w:rPr>
        <w:lastRenderedPageBreak/>
        <w:t xml:space="preserve">a. </w:t>
      </w:r>
      <w:r>
        <w:rPr>
          <w:rFonts w:ascii="Arial" w:eastAsia="Arial" w:hAnsi="Arial" w:cs="Arial"/>
          <w:sz w:val="22"/>
          <w:szCs w:val="22"/>
        </w:rPr>
        <w:t>Promover la identificación de factores de riesgos asociados a dinámicas de reclutamiento, utilización, usó, violencia y explotación sexual en los NNAJ en los distintos entornos donde se desarrollan.</w:t>
      </w:r>
    </w:p>
    <w:p w:rsidR="003D01F5" w:rsidRDefault="000D1D32">
      <w:pPr>
        <w:jc w:val="both"/>
        <w:rPr>
          <w:rFonts w:ascii="Arial" w:eastAsia="Arial" w:hAnsi="Arial" w:cs="Arial"/>
          <w:sz w:val="22"/>
          <w:szCs w:val="22"/>
        </w:rPr>
      </w:pPr>
      <w:r>
        <w:rPr>
          <w:rFonts w:ascii="Arial" w:eastAsia="Arial" w:hAnsi="Arial" w:cs="Arial"/>
          <w:sz w:val="22"/>
          <w:szCs w:val="22"/>
        </w:rPr>
        <w:t>b. Articular acciones con los sistemas de alertas tempranas distritales y nacionales para brindar y recibir información tendiente a prevenir y abordar el reclutamiento, utilización, usó, violencia y explotación sexual en los NNAJ. Administración Distrital deberá elaborar informes semestrales de análisis de riesgo diferenciados por localidad, con el propósito de identificar factores de vulnerabilidad y priorizar acciones integrales de prevención frente al reclutamiento, uso, utilización, violencia y explotación sexual en contra de niñas, niños, adolescentes y jóvenes (NNAJ).</w:t>
      </w:r>
    </w:p>
    <w:p w:rsidR="003D01F5" w:rsidRDefault="000D1D32">
      <w:pPr>
        <w:jc w:val="both"/>
        <w:rPr>
          <w:rFonts w:ascii="Arial" w:eastAsia="Arial" w:hAnsi="Arial" w:cs="Arial"/>
          <w:sz w:val="22"/>
          <w:szCs w:val="22"/>
        </w:rPr>
      </w:pPr>
      <w:r>
        <w:rPr>
          <w:rFonts w:ascii="Arial" w:eastAsia="Arial" w:hAnsi="Arial" w:cs="Arial"/>
          <w:sz w:val="22"/>
          <w:szCs w:val="22"/>
        </w:rPr>
        <w:t>c. Diseñar e incluir rutas de promoción y atención intersectorial para la protección inmediata de NNAJ en riesgo y situación de vulnerabilidad. Esto, a través de los programas distritales que ya brindan atención integral a NNAJ en Bogotá D.C.</w:t>
      </w:r>
    </w:p>
    <w:p w:rsidR="003D01F5" w:rsidRDefault="000D1D32">
      <w:pPr>
        <w:jc w:val="both"/>
        <w:rPr>
          <w:rFonts w:ascii="Arial" w:eastAsia="Arial" w:hAnsi="Arial" w:cs="Arial"/>
          <w:sz w:val="22"/>
          <w:szCs w:val="22"/>
        </w:rPr>
      </w:pPr>
      <w:r>
        <w:rPr>
          <w:rFonts w:ascii="Arial" w:eastAsia="Arial" w:hAnsi="Arial" w:cs="Arial"/>
          <w:sz w:val="22"/>
          <w:szCs w:val="22"/>
        </w:rPr>
        <w:t>d. La Administración Distrital deberá definir, diseñar e implementar mecanismos de seguimiento, evaluación y monitoreo que permitan medir el nivel de implementación del protocolo y su impacto en territorios, con el fin de fortalecer las estrategias de prevención y protección de los derechos de NNAJ.</w:t>
      </w:r>
    </w:p>
    <w:p w:rsidR="003D01F5" w:rsidRDefault="003D01F5">
      <w:pPr>
        <w:jc w:val="both"/>
        <w:rPr>
          <w:rFonts w:ascii="Arial" w:eastAsia="Arial" w:hAnsi="Arial" w:cs="Arial"/>
          <w:b/>
          <w:sz w:val="22"/>
          <w:szCs w:val="22"/>
        </w:rPr>
      </w:pPr>
    </w:p>
    <w:p w:rsidR="003D01F5" w:rsidRDefault="000D1D32">
      <w:pPr>
        <w:jc w:val="both"/>
        <w:rPr>
          <w:rFonts w:ascii="Arial" w:eastAsia="Arial" w:hAnsi="Arial" w:cs="Arial"/>
          <w:sz w:val="22"/>
          <w:szCs w:val="22"/>
        </w:rPr>
      </w:pPr>
      <w:r>
        <w:rPr>
          <w:rFonts w:ascii="Arial" w:eastAsia="Arial" w:hAnsi="Arial" w:cs="Arial"/>
          <w:b/>
          <w:sz w:val="22"/>
          <w:szCs w:val="22"/>
        </w:rPr>
        <w:t xml:space="preserve">PARÁGRAFO PRIMERO. </w:t>
      </w:r>
      <w:r>
        <w:rPr>
          <w:rFonts w:ascii="Arial" w:eastAsia="Arial" w:hAnsi="Arial" w:cs="Arial"/>
          <w:sz w:val="22"/>
          <w:szCs w:val="22"/>
        </w:rPr>
        <w:t>Se promoverá la articulación entre los sistemas de información nacionales y distritales, que permita mejorar la calidad de los registros administrativos y su interoperabilidad, para aunar esfuerzos que permitan acciones efectivas y eficaces para prevenir el reclutamiento, utilización, uso, violencia y explotación sexual en los NNAJ.</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b/>
          <w:sz w:val="22"/>
          <w:szCs w:val="22"/>
        </w:rPr>
        <w:t xml:space="preserve">PARÁGRAFO SEGUNDO. </w:t>
      </w:r>
      <w:r>
        <w:rPr>
          <w:rFonts w:ascii="Arial" w:eastAsia="Arial" w:hAnsi="Arial" w:cs="Arial"/>
          <w:sz w:val="22"/>
          <w:szCs w:val="22"/>
        </w:rPr>
        <w:t>La creación de este protocolo incluirá la participación incidente de la sociedad civil organizada, incluyendo NNAJ y organizaciones que trabajen en favor de esta población.</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b/>
          <w:sz w:val="22"/>
          <w:szCs w:val="22"/>
        </w:rPr>
        <w:t xml:space="preserve">ARTÍCULO 7. COMPONENTE DE PREVENCIÓN. </w:t>
      </w:r>
      <w:r>
        <w:rPr>
          <w:rFonts w:ascii="Arial" w:eastAsia="Arial" w:hAnsi="Arial" w:cs="Arial"/>
          <w:sz w:val="22"/>
          <w:szCs w:val="22"/>
        </w:rPr>
        <w:t>De conformidad con el protocolo dispuesto en el artículo anterior y respetando la sostenibilidad fiscal, los programas, proyectos y estrategias distritales ya existentes o que se creen posterior a la sanción de este Acuerdo y que pertenezcan a los sectores: educación; integración social; salud; cultura, recreación y deporte; y seguridad convivencia y justicia, dirigidos a la atención integral de NNAJ incluirán, de manera progresiva y transversal, un componente específico de prevención del reclutamiento, utilización, uso, violencia y explotación sexual contra NNAJ.</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sz w:val="22"/>
          <w:szCs w:val="22"/>
        </w:rPr>
        <w:t xml:space="preserve">Dicho componente podrá incluir estrategias y acciones encaminadas no sólo a prevenir sino a identificar factores de riesgo subyacentes al ciclo y curso de vida de los NNAJ. Igualmente, se propenderá por promover entornos protectores y seguros para NNAJ a nivel familiar, escolar, comunitario e institucional. </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b/>
          <w:sz w:val="22"/>
          <w:szCs w:val="22"/>
        </w:rPr>
        <w:t xml:space="preserve">PARÁGRAFO PRIMERO. </w:t>
      </w:r>
      <w:r>
        <w:rPr>
          <w:rFonts w:ascii="Arial" w:eastAsia="Arial" w:hAnsi="Arial" w:cs="Arial"/>
          <w:sz w:val="22"/>
          <w:szCs w:val="22"/>
        </w:rPr>
        <w:t xml:space="preserve">La Administración Distrital, con base en el protocolo, promoverá acciones focalizadas en programas sociales, económicos, educativos, culturales y recreativos dirigidos a NNAJ y sus familias con alto grado de vulnerabilidad y riesgo de reclutamiento, utilización, usó, violencia y explotación sexual en el Distrito Capital. </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b/>
          <w:sz w:val="22"/>
          <w:szCs w:val="22"/>
        </w:rPr>
        <w:lastRenderedPageBreak/>
        <w:t xml:space="preserve">PARÁGRAFO SEGUNDO. </w:t>
      </w:r>
      <w:r>
        <w:rPr>
          <w:rFonts w:ascii="Arial" w:eastAsia="Arial" w:hAnsi="Arial" w:cs="Arial"/>
          <w:sz w:val="22"/>
          <w:szCs w:val="22"/>
        </w:rPr>
        <w:t>La Administración Distrital articulará las estrategias y acciones que nazcan de este componente y del protocolo, con las rutas existentes para la prevención del reclutamiento, utilización, uso, violencia y explotación sexual contra NNAJ.</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b/>
          <w:sz w:val="22"/>
          <w:szCs w:val="22"/>
        </w:rPr>
        <w:t xml:space="preserve">ARTÍCULO 8. CAPACITACIÓN. </w:t>
      </w:r>
      <w:r>
        <w:rPr>
          <w:rFonts w:ascii="Arial" w:eastAsia="Arial" w:hAnsi="Arial" w:cs="Arial"/>
          <w:sz w:val="22"/>
          <w:szCs w:val="22"/>
        </w:rPr>
        <w:t xml:space="preserve">Se propenderá por que los funcionarios públicos y contratistas de la Administración Distrital que trabajen en programas, proyectos y estrategias de atención a NNAJ, de los sectores establecidos en el artículo 7 del presente Acuerdo, recibirán capacitación anual en:  </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b/>
          <w:sz w:val="22"/>
          <w:szCs w:val="22"/>
        </w:rPr>
        <w:t xml:space="preserve">a. </w:t>
      </w:r>
      <w:r>
        <w:rPr>
          <w:rFonts w:ascii="Arial" w:eastAsia="Arial" w:hAnsi="Arial" w:cs="Arial"/>
          <w:sz w:val="22"/>
          <w:szCs w:val="22"/>
        </w:rPr>
        <w:t>Prevención del reclutamiento, utilización, usó, violencia y explotación sexual contra NNAJ.</w:t>
      </w:r>
    </w:p>
    <w:p w:rsidR="003D01F5" w:rsidRDefault="000D1D32">
      <w:pPr>
        <w:jc w:val="both"/>
        <w:rPr>
          <w:rFonts w:ascii="Arial" w:eastAsia="Arial" w:hAnsi="Arial" w:cs="Arial"/>
          <w:sz w:val="22"/>
          <w:szCs w:val="22"/>
        </w:rPr>
      </w:pPr>
      <w:r>
        <w:rPr>
          <w:rFonts w:ascii="Arial" w:eastAsia="Arial" w:hAnsi="Arial" w:cs="Arial"/>
          <w:b/>
          <w:sz w:val="22"/>
          <w:szCs w:val="22"/>
        </w:rPr>
        <w:t xml:space="preserve">b. </w:t>
      </w:r>
      <w:r>
        <w:rPr>
          <w:rFonts w:ascii="Arial" w:eastAsia="Arial" w:hAnsi="Arial" w:cs="Arial"/>
          <w:sz w:val="22"/>
          <w:szCs w:val="22"/>
        </w:rPr>
        <w:t xml:space="preserve">Derechos humanos y protección integral de NNAJ.  </w:t>
      </w:r>
    </w:p>
    <w:p w:rsidR="003D01F5" w:rsidRDefault="000D1D32">
      <w:pPr>
        <w:jc w:val="both"/>
        <w:rPr>
          <w:rFonts w:ascii="Arial" w:eastAsia="Arial" w:hAnsi="Arial" w:cs="Arial"/>
          <w:sz w:val="22"/>
          <w:szCs w:val="22"/>
        </w:rPr>
      </w:pPr>
      <w:r>
        <w:rPr>
          <w:rFonts w:ascii="Arial" w:eastAsia="Arial" w:hAnsi="Arial" w:cs="Arial"/>
          <w:b/>
          <w:sz w:val="22"/>
          <w:szCs w:val="22"/>
        </w:rPr>
        <w:t xml:space="preserve">c. </w:t>
      </w:r>
      <w:r>
        <w:rPr>
          <w:rFonts w:ascii="Arial" w:eastAsia="Arial" w:hAnsi="Arial" w:cs="Arial"/>
          <w:sz w:val="22"/>
          <w:szCs w:val="22"/>
        </w:rPr>
        <w:t xml:space="preserve">Manejo y aplicación del protocolo dispuesto en el artículo 6. </w:t>
      </w:r>
    </w:p>
    <w:p w:rsidR="003D01F5" w:rsidRDefault="000D1D32">
      <w:pPr>
        <w:jc w:val="both"/>
        <w:rPr>
          <w:rFonts w:ascii="Arial" w:eastAsia="Arial" w:hAnsi="Arial" w:cs="Arial"/>
          <w:sz w:val="22"/>
          <w:szCs w:val="22"/>
        </w:rPr>
      </w:pPr>
      <w:r>
        <w:rPr>
          <w:rFonts w:ascii="Arial" w:eastAsia="Arial" w:hAnsi="Arial" w:cs="Arial"/>
          <w:b/>
          <w:sz w:val="22"/>
          <w:szCs w:val="22"/>
        </w:rPr>
        <w:t xml:space="preserve">d. </w:t>
      </w:r>
      <w:r>
        <w:rPr>
          <w:rFonts w:ascii="Arial" w:eastAsia="Arial" w:hAnsi="Arial" w:cs="Arial"/>
          <w:sz w:val="22"/>
          <w:szCs w:val="22"/>
        </w:rPr>
        <w:t>Estrategias de promoción de entornos protectores y seguros.</w:t>
      </w:r>
    </w:p>
    <w:p w:rsidR="003D01F5" w:rsidRDefault="000D1D32">
      <w:pPr>
        <w:jc w:val="both"/>
        <w:rPr>
          <w:rFonts w:ascii="Arial" w:eastAsia="Arial" w:hAnsi="Arial" w:cs="Arial"/>
          <w:sz w:val="22"/>
          <w:szCs w:val="22"/>
        </w:rPr>
      </w:pPr>
      <w:r>
        <w:rPr>
          <w:rFonts w:ascii="Arial" w:eastAsia="Arial" w:hAnsi="Arial" w:cs="Arial"/>
          <w:b/>
          <w:sz w:val="22"/>
          <w:szCs w:val="22"/>
        </w:rPr>
        <w:t xml:space="preserve">e. </w:t>
      </w:r>
      <w:r>
        <w:rPr>
          <w:rFonts w:ascii="Arial" w:eastAsia="Arial" w:hAnsi="Arial" w:cs="Arial"/>
          <w:sz w:val="22"/>
          <w:szCs w:val="22"/>
        </w:rPr>
        <w:t xml:space="preserve">Estrategias de uso de evidencia para el diseño, seguimiento, mejora y adaptación de acciones. </w:t>
      </w:r>
    </w:p>
    <w:p w:rsidR="003D01F5" w:rsidRDefault="000D1D32">
      <w:pPr>
        <w:spacing w:before="240" w:after="240"/>
        <w:jc w:val="both"/>
        <w:rPr>
          <w:rFonts w:ascii="Arial" w:eastAsia="Arial" w:hAnsi="Arial" w:cs="Arial"/>
          <w:sz w:val="22"/>
          <w:szCs w:val="22"/>
        </w:rPr>
      </w:pPr>
      <w:r>
        <w:rPr>
          <w:rFonts w:ascii="Arial" w:eastAsia="Arial" w:hAnsi="Arial" w:cs="Arial"/>
          <w:b/>
          <w:sz w:val="22"/>
          <w:szCs w:val="22"/>
        </w:rPr>
        <w:t xml:space="preserve">ARTÍCULO 9. USO DE EVIDENCIA, SEGUIMIENTO Y MEJORAMIENTO. </w:t>
      </w:r>
      <w:r>
        <w:rPr>
          <w:rFonts w:ascii="Arial" w:eastAsia="Arial" w:hAnsi="Arial" w:cs="Arial"/>
          <w:sz w:val="22"/>
          <w:szCs w:val="22"/>
        </w:rPr>
        <w:t>Los programas, proyectos y estrategias distritales dirigidos a la prevención del reclutamiento, utilización, usó, violencia y explotación sexual en contra de NNAJ incorporarán, de manera transversal, el uso de buenas prácticas nacionales e internacionales verificadas, así como el análisis de las realidades territoriales y comunitarias, con el fin de garantizar que las acciones sean pertinentes, efectivas y ajustadas a las necesidades de cada contexto.</w:t>
      </w:r>
    </w:p>
    <w:p w:rsidR="003D01F5" w:rsidRDefault="000D1D32">
      <w:pPr>
        <w:spacing w:before="240" w:after="240"/>
        <w:jc w:val="both"/>
        <w:rPr>
          <w:rFonts w:ascii="Arial" w:eastAsia="Arial" w:hAnsi="Arial" w:cs="Arial"/>
          <w:b/>
          <w:sz w:val="22"/>
          <w:szCs w:val="22"/>
        </w:rPr>
      </w:pPr>
      <w:r>
        <w:rPr>
          <w:rFonts w:ascii="Arial" w:eastAsia="Arial" w:hAnsi="Arial" w:cs="Arial"/>
          <w:sz w:val="22"/>
          <w:szCs w:val="22"/>
        </w:rPr>
        <w:t>Estas acciones buscarán identificar los resultados esperados y contarán con mecanismos de seguimiento y verificación que permitirán orientar la mejora continua de las acciones implementadas, asegurando su efectividad y pertinencia en el tiempo.</w:t>
      </w:r>
    </w:p>
    <w:p w:rsidR="003D01F5" w:rsidRDefault="000D1D32">
      <w:pPr>
        <w:jc w:val="both"/>
        <w:rPr>
          <w:rFonts w:ascii="Arial" w:eastAsia="Arial" w:hAnsi="Arial" w:cs="Arial"/>
          <w:sz w:val="22"/>
          <w:szCs w:val="22"/>
        </w:rPr>
      </w:pPr>
      <w:r>
        <w:rPr>
          <w:rFonts w:ascii="Arial" w:eastAsia="Arial" w:hAnsi="Arial" w:cs="Arial"/>
          <w:b/>
          <w:sz w:val="22"/>
          <w:szCs w:val="22"/>
        </w:rPr>
        <w:t xml:space="preserve">ARTÍCULO 10. REGLAMENTACIÓN. </w:t>
      </w:r>
      <w:r>
        <w:rPr>
          <w:rFonts w:ascii="Arial" w:eastAsia="Arial" w:hAnsi="Arial" w:cs="Arial"/>
          <w:sz w:val="22"/>
          <w:szCs w:val="22"/>
        </w:rPr>
        <w:t>La Administración Distrital, en el ejercicio de sus competencias y facultades legales, reglamentará dentro de los seis (6) meses siguientes a la sanción del presente Acuerdo, lo concerniente a la elaboración del protocolo, inclusión del componente de prevención en los programas, proyectos y estrategias dirigidos a NNAJ; capacitación de funcionarios públicos y contratistas y los demás aspectos que considere necesarios para el propósito de prevenir el reclutamiento, utilización, uso, violencia y explotación sexual de NNAJ en Bogotá D.C.</w:t>
      </w:r>
    </w:p>
    <w:p w:rsidR="003D01F5" w:rsidRDefault="003D01F5">
      <w:pPr>
        <w:jc w:val="both"/>
        <w:rPr>
          <w:rFonts w:ascii="Arial" w:eastAsia="Arial" w:hAnsi="Arial" w:cs="Arial"/>
          <w:sz w:val="22"/>
          <w:szCs w:val="22"/>
        </w:rPr>
      </w:pPr>
    </w:p>
    <w:p w:rsidR="003D01F5" w:rsidRDefault="000D1D32">
      <w:pPr>
        <w:jc w:val="both"/>
        <w:rPr>
          <w:rFonts w:ascii="Arial" w:eastAsia="Arial" w:hAnsi="Arial" w:cs="Arial"/>
          <w:sz w:val="22"/>
          <w:szCs w:val="22"/>
        </w:rPr>
      </w:pPr>
      <w:r>
        <w:rPr>
          <w:rFonts w:ascii="Arial" w:eastAsia="Arial" w:hAnsi="Arial" w:cs="Arial"/>
          <w:b/>
          <w:sz w:val="22"/>
          <w:szCs w:val="22"/>
        </w:rPr>
        <w:t xml:space="preserve">ARTÍCULO 11. VIGENCIA. </w:t>
      </w:r>
      <w:r>
        <w:rPr>
          <w:rFonts w:ascii="Arial" w:eastAsia="Arial" w:hAnsi="Arial" w:cs="Arial"/>
          <w:sz w:val="22"/>
          <w:szCs w:val="22"/>
        </w:rPr>
        <w:t xml:space="preserve">El presente Acuerdo rige a partir de su aprobación. </w:t>
      </w:r>
    </w:p>
    <w:p w:rsidR="003D01F5" w:rsidRDefault="003D01F5">
      <w:pPr>
        <w:jc w:val="both"/>
        <w:rPr>
          <w:rFonts w:ascii="Arial" w:eastAsia="Arial" w:hAnsi="Arial" w:cs="Arial"/>
          <w:sz w:val="22"/>
          <w:szCs w:val="22"/>
        </w:rPr>
      </w:pPr>
    </w:p>
    <w:p w:rsidR="003D01F5" w:rsidRDefault="003D01F5">
      <w:pPr>
        <w:jc w:val="both"/>
        <w:rPr>
          <w:rFonts w:ascii="Arial" w:eastAsia="Arial" w:hAnsi="Arial" w:cs="Arial"/>
        </w:rPr>
      </w:pPr>
    </w:p>
    <w:sectPr w:rsidR="003D01F5">
      <w:headerReference w:type="default" r:id="rId30"/>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4A11" w:rsidRDefault="000D1D32">
      <w:r>
        <w:separator/>
      </w:r>
    </w:p>
  </w:endnote>
  <w:endnote w:type="continuationSeparator" w:id="0">
    <w:p w:rsidR="00BD4A11" w:rsidRDefault="000D1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4A11" w:rsidRDefault="000D1D32">
      <w:r>
        <w:separator/>
      </w:r>
    </w:p>
  </w:footnote>
  <w:footnote w:type="continuationSeparator" w:id="0">
    <w:p w:rsidR="00BD4A11" w:rsidRDefault="000D1D3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1F5" w:rsidRDefault="003D01F5">
    <w:pPr>
      <w:widowControl w:val="0"/>
      <w:pBdr>
        <w:top w:val="nil"/>
        <w:left w:val="nil"/>
        <w:bottom w:val="nil"/>
        <w:right w:val="nil"/>
        <w:between w:val="nil"/>
      </w:pBdr>
      <w:spacing w:line="276" w:lineRule="auto"/>
      <w:jc w:val="center"/>
      <w:rPr>
        <w:rFonts w:ascii="Arial" w:eastAsia="Arial" w:hAnsi="Arial" w:cs="Arial"/>
        <w:b/>
        <w:color w:val="000000"/>
      </w:rPr>
    </w:pPr>
  </w:p>
  <w:tbl>
    <w:tblPr>
      <w:tblStyle w:val="a9"/>
      <w:tblW w:w="8830" w:type="dxa"/>
      <w:tblInd w:w="0" w:type="dxa"/>
      <w:tblLayout w:type="fixed"/>
      <w:tblLook w:val="0000" w:firstRow="0" w:lastRow="0" w:firstColumn="0" w:lastColumn="0" w:noHBand="0" w:noVBand="0"/>
    </w:tblPr>
    <w:tblGrid>
      <w:gridCol w:w="2361"/>
      <w:gridCol w:w="4235"/>
      <w:gridCol w:w="2234"/>
    </w:tblGrid>
    <w:tr w:rsidR="003D01F5">
      <w:trPr>
        <w:trHeight w:val="440"/>
      </w:trPr>
      <w:tc>
        <w:tcPr>
          <w:tcW w:w="2361" w:type="dxa"/>
          <w:vMerge w:val="restart"/>
          <w:tcBorders>
            <w:top w:val="single" w:sz="4" w:space="0" w:color="000000"/>
            <w:left w:val="single" w:sz="4" w:space="0" w:color="000000"/>
            <w:right w:val="single" w:sz="4" w:space="0" w:color="000000"/>
          </w:tcBorders>
          <w:vAlign w:val="center"/>
        </w:tcPr>
        <w:p w:rsidR="003D01F5" w:rsidRDefault="000D1D32">
          <w:pPr>
            <w:spacing w:line="276" w:lineRule="auto"/>
            <w:jc w:val="center"/>
            <w:rPr>
              <w:rFonts w:ascii="Arial" w:eastAsia="Arial" w:hAnsi="Arial" w:cs="Arial"/>
              <w:b/>
              <w:sz w:val="16"/>
              <w:szCs w:val="16"/>
            </w:rPr>
          </w:pPr>
          <w:r>
            <w:rPr>
              <w:rFonts w:ascii="Arial" w:eastAsia="Arial" w:hAnsi="Arial" w:cs="Arial"/>
              <w:b/>
              <w:noProof/>
              <w:sz w:val="16"/>
              <w:szCs w:val="16"/>
              <w:lang w:val="es-419"/>
            </w:rPr>
            <w:drawing>
              <wp:inline distT="0" distB="0" distL="0" distR="0">
                <wp:extent cx="749935" cy="883920"/>
                <wp:effectExtent l="0" t="0" r="0" b="0"/>
                <wp:docPr id="175493251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49935" cy="883920"/>
                        </a:xfrm>
                        <a:prstGeom prst="rect">
                          <a:avLst/>
                        </a:prstGeom>
                        <a:ln/>
                      </pic:spPr>
                    </pic:pic>
                  </a:graphicData>
                </a:graphic>
              </wp:inline>
            </w:drawing>
          </w:r>
        </w:p>
      </w:tc>
      <w:tc>
        <w:tcPr>
          <w:tcW w:w="4235" w:type="dxa"/>
          <w:tcBorders>
            <w:top w:val="single" w:sz="4" w:space="0" w:color="000000"/>
            <w:left w:val="nil"/>
            <w:bottom w:val="single" w:sz="4" w:space="0" w:color="000000"/>
            <w:right w:val="single" w:sz="4" w:space="0" w:color="000000"/>
          </w:tcBorders>
          <w:vAlign w:val="center"/>
        </w:tcPr>
        <w:p w:rsidR="003D01F5" w:rsidRDefault="000D1D32">
          <w:pPr>
            <w:spacing w:line="276" w:lineRule="auto"/>
            <w:jc w:val="center"/>
            <w:rPr>
              <w:rFonts w:ascii="Arial" w:eastAsia="Arial" w:hAnsi="Arial" w:cs="Arial"/>
              <w:sz w:val="18"/>
              <w:szCs w:val="18"/>
            </w:rPr>
          </w:pPr>
          <w:r>
            <w:rPr>
              <w:rFonts w:ascii="Arial" w:eastAsia="Arial" w:hAnsi="Arial" w:cs="Arial"/>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rsidR="003D01F5" w:rsidRDefault="000D1D32">
          <w:pPr>
            <w:spacing w:line="276" w:lineRule="auto"/>
            <w:jc w:val="center"/>
            <w:rPr>
              <w:rFonts w:ascii="Arial" w:eastAsia="Arial" w:hAnsi="Arial" w:cs="Arial"/>
              <w:sz w:val="16"/>
              <w:szCs w:val="16"/>
            </w:rPr>
          </w:pPr>
          <w:r>
            <w:rPr>
              <w:rFonts w:ascii="Arial" w:eastAsia="Arial" w:hAnsi="Arial" w:cs="Arial"/>
              <w:sz w:val="16"/>
              <w:szCs w:val="16"/>
            </w:rPr>
            <w:t>CÓDIGO</w:t>
          </w:r>
          <w:r>
            <w:rPr>
              <w:rFonts w:ascii="Arial" w:eastAsia="Arial" w:hAnsi="Arial" w:cs="Arial"/>
              <w:color w:val="3366FF"/>
              <w:sz w:val="16"/>
              <w:szCs w:val="16"/>
            </w:rPr>
            <w:t xml:space="preserve">: </w:t>
          </w:r>
          <w:r>
            <w:rPr>
              <w:rFonts w:ascii="Arial" w:eastAsia="Arial" w:hAnsi="Arial" w:cs="Arial"/>
              <w:sz w:val="16"/>
              <w:szCs w:val="16"/>
            </w:rPr>
            <w:t>GN-PR001- FO2</w:t>
          </w:r>
        </w:p>
      </w:tc>
    </w:tr>
    <w:tr w:rsidR="003D01F5">
      <w:trPr>
        <w:trHeight w:val="440"/>
      </w:trPr>
      <w:tc>
        <w:tcPr>
          <w:tcW w:w="2361" w:type="dxa"/>
          <w:vMerge/>
          <w:tcBorders>
            <w:top w:val="single" w:sz="4" w:space="0" w:color="000000"/>
            <w:left w:val="single" w:sz="4" w:space="0" w:color="000000"/>
            <w:right w:val="single" w:sz="4" w:space="0" w:color="000000"/>
          </w:tcBorders>
          <w:vAlign w:val="center"/>
        </w:tcPr>
        <w:p w:rsidR="003D01F5" w:rsidRDefault="003D01F5">
          <w:pPr>
            <w:widowControl w:val="0"/>
            <w:pBdr>
              <w:top w:val="nil"/>
              <w:left w:val="nil"/>
              <w:bottom w:val="nil"/>
              <w:right w:val="nil"/>
              <w:between w:val="nil"/>
            </w:pBdr>
            <w:spacing w:line="276" w:lineRule="auto"/>
            <w:rPr>
              <w:rFonts w:ascii="Arial" w:eastAsia="Arial" w:hAnsi="Arial" w:cs="Arial"/>
              <w:sz w:val="16"/>
              <w:szCs w:val="16"/>
            </w:rPr>
          </w:pPr>
        </w:p>
      </w:tc>
      <w:tc>
        <w:tcPr>
          <w:tcW w:w="4235" w:type="dxa"/>
          <w:vMerge w:val="restart"/>
          <w:tcBorders>
            <w:top w:val="single" w:sz="4" w:space="0" w:color="000000"/>
            <w:left w:val="nil"/>
            <w:right w:val="single" w:sz="4" w:space="0" w:color="000000"/>
          </w:tcBorders>
          <w:vAlign w:val="center"/>
        </w:tcPr>
        <w:p w:rsidR="003D01F5" w:rsidRDefault="000D1D32">
          <w:pPr>
            <w:spacing w:line="276" w:lineRule="auto"/>
            <w:jc w:val="center"/>
            <w:rPr>
              <w:rFonts w:ascii="Arial" w:eastAsia="Arial" w:hAnsi="Arial" w:cs="Arial"/>
              <w:sz w:val="20"/>
              <w:szCs w:val="20"/>
            </w:rPr>
          </w:pPr>
          <w:r>
            <w:rPr>
              <w:rFonts w:ascii="Arial" w:eastAsia="Arial" w:hAnsi="Arial" w:cs="Arial"/>
              <w:sz w:val="20"/>
              <w:szCs w:val="20"/>
            </w:rPr>
            <w:t>PRESENTACIÓN PONENCIAS</w:t>
          </w:r>
        </w:p>
      </w:tc>
      <w:tc>
        <w:tcPr>
          <w:tcW w:w="2234" w:type="dxa"/>
          <w:tcBorders>
            <w:top w:val="single" w:sz="4" w:space="0" w:color="000000"/>
            <w:left w:val="nil"/>
            <w:bottom w:val="single" w:sz="4" w:space="0" w:color="000000"/>
            <w:right w:val="single" w:sz="4" w:space="0" w:color="000000"/>
          </w:tcBorders>
          <w:vAlign w:val="center"/>
        </w:tcPr>
        <w:p w:rsidR="003D01F5" w:rsidRDefault="000D1D32">
          <w:pPr>
            <w:spacing w:line="276" w:lineRule="auto"/>
            <w:jc w:val="center"/>
            <w:rPr>
              <w:rFonts w:ascii="Arial" w:eastAsia="Arial" w:hAnsi="Arial" w:cs="Arial"/>
              <w:sz w:val="16"/>
              <w:szCs w:val="16"/>
            </w:rPr>
          </w:pPr>
          <w:r>
            <w:rPr>
              <w:rFonts w:ascii="Arial" w:eastAsia="Arial" w:hAnsi="Arial" w:cs="Arial"/>
              <w:sz w:val="16"/>
              <w:szCs w:val="16"/>
            </w:rPr>
            <w:t>VERSIÓN:    01</w:t>
          </w:r>
        </w:p>
      </w:tc>
    </w:tr>
    <w:tr w:rsidR="003D01F5">
      <w:trPr>
        <w:trHeight w:val="440"/>
      </w:trPr>
      <w:tc>
        <w:tcPr>
          <w:tcW w:w="2361" w:type="dxa"/>
          <w:vMerge/>
          <w:tcBorders>
            <w:top w:val="single" w:sz="4" w:space="0" w:color="000000"/>
            <w:left w:val="single" w:sz="4" w:space="0" w:color="000000"/>
            <w:right w:val="single" w:sz="4" w:space="0" w:color="000000"/>
          </w:tcBorders>
          <w:vAlign w:val="center"/>
        </w:tcPr>
        <w:p w:rsidR="003D01F5" w:rsidRDefault="003D01F5">
          <w:pPr>
            <w:widowControl w:val="0"/>
            <w:pBdr>
              <w:top w:val="nil"/>
              <w:left w:val="nil"/>
              <w:bottom w:val="nil"/>
              <w:right w:val="nil"/>
              <w:between w:val="nil"/>
            </w:pBdr>
            <w:spacing w:line="276" w:lineRule="auto"/>
            <w:rPr>
              <w:rFonts w:ascii="Arial" w:eastAsia="Arial" w:hAnsi="Arial" w:cs="Arial"/>
              <w:sz w:val="16"/>
              <w:szCs w:val="16"/>
            </w:rPr>
          </w:pPr>
        </w:p>
      </w:tc>
      <w:tc>
        <w:tcPr>
          <w:tcW w:w="4235" w:type="dxa"/>
          <w:vMerge/>
          <w:tcBorders>
            <w:top w:val="single" w:sz="4" w:space="0" w:color="000000"/>
            <w:left w:val="nil"/>
            <w:right w:val="single" w:sz="4" w:space="0" w:color="000000"/>
          </w:tcBorders>
          <w:vAlign w:val="center"/>
        </w:tcPr>
        <w:p w:rsidR="003D01F5" w:rsidRDefault="003D01F5">
          <w:pPr>
            <w:widowControl w:val="0"/>
            <w:pBdr>
              <w:top w:val="nil"/>
              <w:left w:val="nil"/>
              <w:bottom w:val="nil"/>
              <w:right w:val="nil"/>
              <w:between w:val="nil"/>
            </w:pBdr>
            <w:spacing w:line="276" w:lineRule="auto"/>
            <w:rPr>
              <w:rFonts w:ascii="Arial" w:eastAsia="Arial" w:hAnsi="Arial" w:cs="Arial"/>
              <w:sz w:val="16"/>
              <w:szCs w:val="16"/>
            </w:rPr>
          </w:pPr>
        </w:p>
      </w:tc>
      <w:tc>
        <w:tcPr>
          <w:tcW w:w="2234" w:type="dxa"/>
          <w:tcBorders>
            <w:top w:val="single" w:sz="4" w:space="0" w:color="000000"/>
            <w:left w:val="nil"/>
            <w:bottom w:val="single" w:sz="4" w:space="0" w:color="000000"/>
            <w:right w:val="single" w:sz="4" w:space="0" w:color="000000"/>
          </w:tcBorders>
          <w:vAlign w:val="center"/>
        </w:tcPr>
        <w:p w:rsidR="003D01F5" w:rsidRDefault="000D1D32">
          <w:pPr>
            <w:spacing w:line="276" w:lineRule="auto"/>
            <w:jc w:val="center"/>
            <w:rPr>
              <w:rFonts w:ascii="Arial" w:eastAsia="Arial" w:hAnsi="Arial" w:cs="Arial"/>
              <w:sz w:val="16"/>
              <w:szCs w:val="16"/>
            </w:rPr>
          </w:pPr>
          <w:r>
            <w:rPr>
              <w:rFonts w:ascii="Arial" w:eastAsia="Arial" w:hAnsi="Arial" w:cs="Arial"/>
              <w:sz w:val="16"/>
              <w:szCs w:val="16"/>
            </w:rPr>
            <w:t>FECHA: 14-Nov-2019</w:t>
          </w:r>
        </w:p>
      </w:tc>
    </w:tr>
  </w:tbl>
  <w:p w:rsidR="003D01F5" w:rsidRDefault="003D01F5">
    <w:pPr>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80FFF"/>
    <w:multiLevelType w:val="multilevel"/>
    <w:tmpl w:val="9E8495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4BF24983"/>
    <w:multiLevelType w:val="multilevel"/>
    <w:tmpl w:val="FA40EF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5880712"/>
    <w:multiLevelType w:val="multilevel"/>
    <w:tmpl w:val="E028D9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563C0AC9"/>
    <w:multiLevelType w:val="multilevel"/>
    <w:tmpl w:val="F8521182"/>
    <w:lvl w:ilvl="0">
      <w:start w:val="1"/>
      <w:numFmt w:val="upperRoman"/>
      <w:lvlText w:val="%1."/>
      <w:lvlJc w:val="left"/>
      <w:pPr>
        <w:ind w:left="1080" w:hanging="720"/>
      </w:pPr>
    </w:lvl>
    <w:lvl w:ilvl="1">
      <w:start w:val="1"/>
      <w:numFmt w:val="decimal"/>
      <w:lvlText w:val="%1.%2."/>
      <w:lvlJc w:val="left"/>
      <w:pPr>
        <w:ind w:left="1080" w:hanging="720"/>
      </w:pPr>
      <w:rPr>
        <w:b/>
      </w:rPr>
    </w:lvl>
    <w:lvl w:ilvl="2">
      <w:start w:val="1"/>
      <w:numFmt w:val="decimal"/>
      <w:lvlText w:val="%1.%2.%3."/>
      <w:lvlJc w:val="left"/>
      <w:pPr>
        <w:ind w:left="1080" w:hanging="720"/>
      </w:pPr>
      <w:rPr>
        <w:b/>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4" w15:restartNumberingAfterBreak="0">
    <w:nsid w:val="57645D37"/>
    <w:multiLevelType w:val="multilevel"/>
    <w:tmpl w:val="A25C11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89A5F3A"/>
    <w:multiLevelType w:val="multilevel"/>
    <w:tmpl w:val="1AC2C2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C83233E"/>
    <w:multiLevelType w:val="multilevel"/>
    <w:tmpl w:val="95508A9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6F5D1964"/>
    <w:multiLevelType w:val="multilevel"/>
    <w:tmpl w:val="967A62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4"/>
  </w:num>
  <w:num w:numId="2">
    <w:abstractNumId w:val="5"/>
  </w:num>
  <w:num w:numId="3">
    <w:abstractNumId w:val="1"/>
  </w:num>
  <w:num w:numId="4">
    <w:abstractNumId w:val="3"/>
  </w:num>
  <w:num w:numId="5">
    <w:abstractNumId w:val="0"/>
  </w:num>
  <w:num w:numId="6">
    <w:abstractNumId w:val="7"/>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1F5"/>
    <w:rsid w:val="000D1D32"/>
    <w:rsid w:val="003D01F5"/>
    <w:rsid w:val="0074563E"/>
    <w:rsid w:val="00BD4A11"/>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1F2C27-34A0-496C-A672-D2DF9BA99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s-CO" w:eastAsia="es-419"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BEF"/>
  </w:style>
  <w:style w:type="paragraph" w:styleId="Ttulo1">
    <w:name w:val="heading 1"/>
    <w:basedOn w:val="Normal"/>
    <w:next w:val="Normal"/>
    <w:uiPriority w:val="9"/>
    <w:qFormat/>
    <w:pPr>
      <w:keepNext/>
      <w:keepLines/>
      <w:spacing w:before="480" w:after="120" w:line="259" w:lineRule="auto"/>
      <w:outlineLvl w:val="0"/>
    </w:pPr>
    <w:rPr>
      <w:rFonts w:ascii="Calibri" w:eastAsia="Calibri" w:hAnsi="Calibri" w:cs="Calibri"/>
      <w:b/>
      <w:sz w:val="48"/>
      <w:szCs w:val="48"/>
    </w:rPr>
  </w:style>
  <w:style w:type="paragraph" w:styleId="Ttulo2">
    <w:name w:val="heading 2"/>
    <w:basedOn w:val="Normal"/>
    <w:next w:val="Normal"/>
    <w:uiPriority w:val="9"/>
    <w:semiHidden/>
    <w:unhideWhenUsed/>
    <w:qFormat/>
    <w:pPr>
      <w:keepNext/>
      <w:keepLines/>
      <w:spacing w:before="360" w:after="80" w:line="259" w:lineRule="auto"/>
      <w:outlineLvl w:val="1"/>
    </w:pPr>
    <w:rPr>
      <w:rFonts w:ascii="Calibri" w:eastAsia="Calibri" w:hAnsi="Calibri" w:cs="Calibri"/>
      <w:b/>
      <w:sz w:val="36"/>
      <w:szCs w:val="36"/>
    </w:rPr>
  </w:style>
  <w:style w:type="paragraph" w:styleId="Ttulo3">
    <w:name w:val="heading 3"/>
    <w:basedOn w:val="Normal"/>
    <w:next w:val="Normal"/>
    <w:uiPriority w:val="9"/>
    <w:semiHidden/>
    <w:unhideWhenUsed/>
    <w:qFormat/>
    <w:pPr>
      <w:keepNext/>
      <w:keepLines/>
      <w:spacing w:before="280" w:after="80" w:line="259" w:lineRule="auto"/>
      <w:outlineLvl w:val="2"/>
    </w:pPr>
    <w:rPr>
      <w:rFonts w:ascii="Calibri" w:eastAsia="Calibri" w:hAnsi="Calibri" w:cs="Calibri"/>
      <w:b/>
      <w:sz w:val="28"/>
      <w:szCs w:val="28"/>
    </w:rPr>
  </w:style>
  <w:style w:type="paragraph" w:styleId="Ttulo4">
    <w:name w:val="heading 4"/>
    <w:basedOn w:val="Normal"/>
    <w:next w:val="Normal"/>
    <w:uiPriority w:val="9"/>
    <w:semiHidden/>
    <w:unhideWhenUsed/>
    <w:qFormat/>
    <w:pPr>
      <w:keepNext/>
      <w:keepLines/>
      <w:spacing w:before="240" w:after="40" w:line="259" w:lineRule="auto"/>
      <w:outlineLvl w:val="3"/>
    </w:pPr>
    <w:rPr>
      <w:rFonts w:ascii="Calibri" w:eastAsia="Calibri" w:hAnsi="Calibri" w:cs="Calibri"/>
      <w:b/>
    </w:rPr>
  </w:style>
  <w:style w:type="paragraph" w:styleId="Ttulo5">
    <w:name w:val="heading 5"/>
    <w:basedOn w:val="Normal"/>
    <w:next w:val="Normal"/>
    <w:uiPriority w:val="9"/>
    <w:semiHidden/>
    <w:unhideWhenUsed/>
    <w:qFormat/>
    <w:pPr>
      <w:keepNext/>
      <w:keepLines/>
      <w:spacing w:before="220" w:after="40" w:line="259" w:lineRule="auto"/>
      <w:outlineLvl w:val="4"/>
    </w:pPr>
    <w:rPr>
      <w:rFonts w:ascii="Calibri" w:eastAsia="Calibri" w:hAnsi="Calibri" w:cs="Calibri"/>
      <w:b/>
      <w:sz w:val="22"/>
      <w:szCs w:val="22"/>
    </w:rPr>
  </w:style>
  <w:style w:type="paragraph" w:styleId="Ttulo6">
    <w:name w:val="heading 6"/>
    <w:basedOn w:val="Normal"/>
    <w:next w:val="Normal"/>
    <w:uiPriority w:val="9"/>
    <w:semiHidden/>
    <w:unhideWhenUsed/>
    <w:qFormat/>
    <w:pPr>
      <w:keepNext/>
      <w:keepLines/>
      <w:spacing w:before="200" w:after="40" w:line="259" w:lineRule="auto"/>
      <w:outlineLvl w:val="5"/>
    </w:pPr>
    <w:rPr>
      <w:rFonts w:ascii="Calibri" w:eastAsia="Calibri" w:hAnsi="Calibri" w:cs="Calibri"/>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line="259" w:lineRule="auto"/>
    </w:pPr>
    <w:rPr>
      <w:rFonts w:ascii="Calibri" w:eastAsia="Calibri" w:hAnsi="Calibri" w:cs="Calibri"/>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paragraph" w:styleId="Encabezado">
    <w:name w:val="header"/>
    <w:basedOn w:val="Normal"/>
    <w:link w:val="EncabezadoCar"/>
    <w:uiPriority w:val="99"/>
    <w:unhideWhenUsed/>
    <w:rsid w:val="00AE2369"/>
    <w:pPr>
      <w:tabs>
        <w:tab w:val="center" w:pos="4419"/>
        <w:tab w:val="right" w:pos="8838"/>
      </w:tabs>
    </w:pPr>
    <w:rPr>
      <w:rFonts w:ascii="Calibri" w:eastAsia="Calibri" w:hAnsi="Calibri" w:cs="Calibri"/>
      <w:sz w:val="22"/>
      <w:szCs w:val="22"/>
    </w:rPr>
  </w:style>
  <w:style w:type="character" w:customStyle="1" w:styleId="EncabezadoCar">
    <w:name w:val="Encabezado Car"/>
    <w:basedOn w:val="Fuentedeprrafopredeter"/>
    <w:link w:val="Encabezado"/>
    <w:uiPriority w:val="99"/>
    <w:rsid w:val="00AE2369"/>
  </w:style>
  <w:style w:type="paragraph" w:styleId="Piedepgina">
    <w:name w:val="footer"/>
    <w:basedOn w:val="Normal"/>
    <w:link w:val="PiedepginaCar"/>
    <w:uiPriority w:val="99"/>
    <w:unhideWhenUsed/>
    <w:rsid w:val="00AE2369"/>
    <w:pPr>
      <w:tabs>
        <w:tab w:val="center" w:pos="4419"/>
        <w:tab w:val="right" w:pos="8838"/>
      </w:tabs>
    </w:pPr>
    <w:rPr>
      <w:rFonts w:ascii="Calibri" w:eastAsia="Calibri" w:hAnsi="Calibri" w:cs="Calibri"/>
      <w:sz w:val="22"/>
      <w:szCs w:val="22"/>
    </w:rPr>
  </w:style>
  <w:style w:type="character" w:customStyle="1" w:styleId="PiedepginaCar">
    <w:name w:val="Pie de página Car"/>
    <w:basedOn w:val="Fuentedeprrafopredeter"/>
    <w:link w:val="Piedepgina"/>
    <w:uiPriority w:val="99"/>
    <w:rsid w:val="00AE2369"/>
  </w:style>
  <w:style w:type="table" w:styleId="Tablaconcuadrcula">
    <w:name w:val="Table Grid"/>
    <w:basedOn w:val="Tablanormal"/>
    <w:uiPriority w:val="39"/>
    <w:rsid w:val="002376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A0777"/>
    <w:pPr>
      <w:spacing w:after="160" w:line="259" w:lineRule="auto"/>
      <w:ind w:left="720"/>
      <w:contextualSpacing/>
    </w:pPr>
    <w:rPr>
      <w:rFonts w:ascii="Calibri" w:eastAsia="Calibri" w:hAnsi="Calibri" w:cs="Calibri"/>
      <w:sz w:val="22"/>
      <w:szCs w:val="22"/>
    </w:rPr>
  </w:style>
  <w:style w:type="paragraph" w:styleId="Subttulo">
    <w:name w:val="Subtitle"/>
    <w:basedOn w:val="Normal"/>
    <w:next w:val="Normal"/>
    <w:pPr>
      <w:keepNext/>
      <w:keepLines/>
      <w:spacing w:before="360" w:after="80" w:line="259" w:lineRule="auto"/>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108" w:type="dxa"/>
        <w:right w:w="108" w:type="dxa"/>
      </w:tblCellMar>
    </w:tblPr>
  </w:style>
  <w:style w:type="table" w:customStyle="1" w:styleId="a0">
    <w:basedOn w:val="TableNormal2"/>
    <w:tblPr>
      <w:tblStyleRowBandSize w:val="1"/>
      <w:tblStyleColBandSize w:val="1"/>
      <w:tblCellMar>
        <w:top w:w="100" w:type="dxa"/>
        <w:left w:w="100" w:type="dxa"/>
        <w:bottom w:w="100" w:type="dxa"/>
        <w:right w:w="100" w:type="dxa"/>
      </w:tblCellMar>
    </w:tblPr>
  </w:style>
  <w:style w:type="table" w:customStyle="1" w:styleId="a1">
    <w:basedOn w:val="TableNormal2"/>
    <w:tblPr>
      <w:tblStyleRowBandSize w:val="1"/>
      <w:tblStyleColBandSize w:val="1"/>
      <w:tblCellMar>
        <w:left w:w="108" w:type="dxa"/>
        <w:right w:w="108" w:type="dxa"/>
      </w:tblCellMar>
    </w:tblPr>
  </w:style>
  <w:style w:type="table" w:customStyle="1" w:styleId="a2">
    <w:basedOn w:val="TableNormal2"/>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AD0BEE"/>
    <w:pPr>
      <w:spacing w:before="100" w:beforeAutospacing="1" w:after="100" w:afterAutospacing="1"/>
    </w:pPr>
    <w:rPr>
      <w:lang w:val="es-ES"/>
    </w:rPr>
  </w:style>
  <w:style w:type="table" w:customStyle="1" w:styleId="a3">
    <w:basedOn w:val="TableNormal2"/>
    <w:tblPr>
      <w:tblStyleRowBandSize w:val="1"/>
      <w:tblStyleColBandSize w:val="1"/>
      <w:tblCellMar>
        <w:left w:w="70" w:type="dxa"/>
        <w:right w:w="70" w:type="dxa"/>
      </w:tblCellMar>
    </w:tblPr>
  </w:style>
  <w:style w:type="table" w:customStyle="1" w:styleId="a4">
    <w:basedOn w:val="TableNormal2"/>
    <w:tblPr>
      <w:tblStyleRowBandSize w:val="1"/>
      <w:tblStyleColBandSize w:val="1"/>
      <w:tblCellMar>
        <w:left w:w="108" w:type="dxa"/>
        <w:right w:w="108" w:type="dxa"/>
      </w:tblCellMar>
    </w:tblPr>
  </w:style>
  <w:style w:type="table" w:customStyle="1" w:styleId="a5">
    <w:basedOn w:val="TableNormal2"/>
    <w:tblPr>
      <w:tblStyleRowBandSize w:val="1"/>
      <w:tblStyleColBandSize w:val="1"/>
      <w:tblCellMar>
        <w:left w:w="115" w:type="dxa"/>
        <w:right w:w="115" w:type="dxa"/>
      </w:tblCellMar>
    </w:tblPr>
  </w:style>
  <w:style w:type="character" w:styleId="Refdecomentario">
    <w:name w:val="annotation reference"/>
    <w:basedOn w:val="Fuentedeprrafopredeter"/>
    <w:uiPriority w:val="99"/>
    <w:semiHidden/>
    <w:unhideWhenUsed/>
    <w:rsid w:val="00155D93"/>
    <w:rPr>
      <w:sz w:val="16"/>
      <w:szCs w:val="16"/>
    </w:rPr>
  </w:style>
  <w:style w:type="paragraph" w:styleId="Textocomentario">
    <w:name w:val="annotation text"/>
    <w:basedOn w:val="Normal"/>
    <w:link w:val="TextocomentarioCar"/>
    <w:uiPriority w:val="99"/>
    <w:semiHidden/>
    <w:unhideWhenUsed/>
    <w:rsid w:val="00155D93"/>
    <w:pPr>
      <w:spacing w:after="160"/>
    </w:pPr>
    <w:rPr>
      <w:rFonts w:ascii="Calibri" w:eastAsia="Calibri" w:hAnsi="Calibri" w:cs="Calibri"/>
      <w:sz w:val="20"/>
      <w:szCs w:val="20"/>
    </w:rPr>
  </w:style>
  <w:style w:type="character" w:customStyle="1" w:styleId="TextocomentarioCar">
    <w:name w:val="Texto comentario Car"/>
    <w:basedOn w:val="Fuentedeprrafopredeter"/>
    <w:link w:val="Textocomentario"/>
    <w:uiPriority w:val="99"/>
    <w:semiHidden/>
    <w:rsid w:val="00155D93"/>
    <w:rPr>
      <w:sz w:val="20"/>
      <w:szCs w:val="20"/>
    </w:rPr>
  </w:style>
  <w:style w:type="paragraph" w:styleId="Asuntodelcomentario">
    <w:name w:val="annotation subject"/>
    <w:basedOn w:val="Textocomentario"/>
    <w:next w:val="Textocomentario"/>
    <w:link w:val="AsuntodelcomentarioCar"/>
    <w:uiPriority w:val="99"/>
    <w:semiHidden/>
    <w:unhideWhenUsed/>
    <w:rsid w:val="00155D93"/>
    <w:rPr>
      <w:b/>
      <w:bCs/>
    </w:rPr>
  </w:style>
  <w:style w:type="character" w:customStyle="1" w:styleId="AsuntodelcomentarioCar">
    <w:name w:val="Asunto del comentario Car"/>
    <w:basedOn w:val="TextocomentarioCar"/>
    <w:link w:val="Asuntodelcomentario"/>
    <w:uiPriority w:val="99"/>
    <w:semiHidden/>
    <w:rsid w:val="00155D93"/>
    <w:rPr>
      <w:b/>
      <w:bCs/>
      <w:sz w:val="20"/>
      <w:szCs w:val="20"/>
    </w:rPr>
  </w:style>
  <w:style w:type="character" w:styleId="Hipervnculo">
    <w:name w:val="Hyperlink"/>
    <w:basedOn w:val="Fuentedeprrafopredeter"/>
    <w:uiPriority w:val="99"/>
    <w:unhideWhenUsed/>
    <w:rsid w:val="00717FBD"/>
    <w:rPr>
      <w:color w:val="0563C1" w:themeColor="hyperlink"/>
      <w:u w:val="single"/>
    </w:rPr>
  </w:style>
  <w:style w:type="character" w:customStyle="1" w:styleId="Mencinsinresolver1">
    <w:name w:val="Mención sin resolver1"/>
    <w:basedOn w:val="Fuentedeprrafopredeter"/>
    <w:uiPriority w:val="99"/>
    <w:semiHidden/>
    <w:unhideWhenUsed/>
    <w:rsid w:val="00717FBD"/>
    <w:rPr>
      <w:color w:val="605E5C"/>
      <w:shd w:val="clear" w:color="auto" w:fill="E1DFDD"/>
    </w:rPr>
  </w:style>
  <w:style w:type="paragraph" w:styleId="Textonotapie">
    <w:name w:val="footnote text"/>
    <w:basedOn w:val="Normal"/>
    <w:link w:val="TextonotapieCar"/>
    <w:uiPriority w:val="99"/>
    <w:semiHidden/>
    <w:unhideWhenUsed/>
    <w:rsid w:val="007A7B95"/>
    <w:rPr>
      <w:rFonts w:ascii="Calibri" w:eastAsia="Calibri" w:hAnsi="Calibri" w:cs="Calibri"/>
      <w:sz w:val="20"/>
      <w:szCs w:val="20"/>
    </w:rPr>
  </w:style>
  <w:style w:type="character" w:customStyle="1" w:styleId="TextonotapieCar">
    <w:name w:val="Texto nota pie Car"/>
    <w:basedOn w:val="Fuentedeprrafopredeter"/>
    <w:link w:val="Textonotapie"/>
    <w:uiPriority w:val="99"/>
    <w:semiHidden/>
    <w:rsid w:val="007A7B95"/>
    <w:rPr>
      <w:sz w:val="20"/>
      <w:szCs w:val="20"/>
    </w:rPr>
  </w:style>
  <w:style w:type="character" w:styleId="Refdenotaalpie">
    <w:name w:val="footnote reference"/>
    <w:basedOn w:val="Fuentedeprrafopredeter"/>
    <w:uiPriority w:val="99"/>
    <w:semiHidden/>
    <w:unhideWhenUsed/>
    <w:rsid w:val="007A7B95"/>
    <w:rPr>
      <w:vertAlign w:val="superscript"/>
    </w:rPr>
  </w:style>
  <w:style w:type="character" w:styleId="nfasis">
    <w:name w:val="Emphasis"/>
    <w:basedOn w:val="Fuentedeprrafopredeter"/>
    <w:uiPriority w:val="20"/>
    <w:qFormat/>
    <w:rsid w:val="00ED4035"/>
    <w:rPr>
      <w:i/>
      <w:iCs/>
    </w:rPr>
  </w:style>
  <w:style w:type="table" w:customStyle="1" w:styleId="a6">
    <w:basedOn w:val="TableNormal1"/>
    <w:tblPr>
      <w:tblStyleRowBandSize w:val="1"/>
      <w:tblStyleColBandSize w:val="1"/>
      <w:tblCellMar>
        <w:left w:w="108" w:type="dxa"/>
        <w:right w:w="108" w:type="dxa"/>
      </w:tblCellMar>
    </w:tblPr>
  </w:style>
  <w:style w:type="table" w:customStyle="1" w:styleId="a7">
    <w:basedOn w:val="TableNormal1"/>
    <w:tblPr>
      <w:tblStyleRowBandSize w:val="1"/>
      <w:tblStyleColBandSize w:val="1"/>
      <w:tblCellMar>
        <w:left w:w="115" w:type="dxa"/>
        <w:right w:w="115" w:type="dxa"/>
      </w:tblCellMar>
    </w:tblPr>
  </w:style>
  <w:style w:type="table" w:customStyle="1" w:styleId="a8">
    <w:basedOn w:val="TableNormal1"/>
    <w:tblPr>
      <w:tblStyleRowBandSize w:val="1"/>
      <w:tblStyleColBandSize w:val="1"/>
      <w:tblCellMar>
        <w:left w:w="108" w:type="dxa"/>
        <w:right w:w="108" w:type="dxa"/>
      </w:tblCellMar>
    </w:tblPr>
  </w:style>
  <w:style w:type="table" w:customStyle="1" w:styleId="a9">
    <w:basedOn w:val="TableNormal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lpais.com/america/2025-02-25/human-rights-watch-denuncia-que-el-gobierno-de-bukele-ordena-traslados-de-menores-a-carceles-para-adultos-en-el-salvador.html" TargetMode="External"/><Relationship Id="rId18" Type="http://schemas.openxmlformats.org/officeDocument/2006/relationships/hyperlink" Target="https://cdn.www.gob.pe/uploads/document/file/6214766/5476318-10_plan_nacional_trabajo_infantil.pdf" TargetMode="External"/><Relationship Id="rId26" Type="http://schemas.openxmlformats.org/officeDocument/2006/relationships/hyperlink" Target="https://www.ohchr.org/es/instruments-mechanisms/instruments/optional-protocol-convention-rights-child-involvement-armed-conflict" TargetMode="External"/><Relationship Id="rId3" Type="http://schemas.openxmlformats.org/officeDocument/2006/relationships/styles" Target="styles.xml"/><Relationship Id="rId21" Type="http://schemas.openxmlformats.org/officeDocument/2006/relationships/hyperlink" Target="https://oig.cepal.org/sites/default/files/2003_d27-2003_gtm.pdf" TargetMode="External"/><Relationship Id="rId7" Type="http://schemas.openxmlformats.org/officeDocument/2006/relationships/endnotes" Target="endnotes.xml"/><Relationship Id="rId12" Type="http://schemas.openxmlformats.org/officeDocument/2006/relationships/hyperlink" Target="https://www.unicef.org/elsalvador/media/4611/file/Ley%20Crecer%20Juntos.pdf" TargetMode="External"/><Relationship Id="rId17" Type="http://schemas.openxmlformats.org/officeDocument/2006/relationships/hyperlink" Target="https://cdn.www.gob.pe/uploads/document/file/6214766/5476318-10_plan_nacional_trabajo_infantil.pdf" TargetMode="External"/><Relationship Id="rId25" Type="http://schemas.openxmlformats.org/officeDocument/2006/relationships/hyperlink" Target="https://www.ohchr.org/es/instruments-mechanisms/instruments/optional-protocol-convention-rights-child-involvement-armed-conflict" TargetMode="External"/><Relationship Id="rId2" Type="http://schemas.openxmlformats.org/officeDocument/2006/relationships/numbering" Target="numbering.xml"/><Relationship Id="rId16" Type="http://schemas.openxmlformats.org/officeDocument/2006/relationships/hyperlink" Target="https://www2.congreso.gob.pe/sicr/cendocbib/con2_uibd.nsf/785F189E4413AAE805257662007254DA/%24FILE/PERU_LEY_27337.pdf" TargetMode="External"/><Relationship Id="rId20" Type="http://schemas.openxmlformats.org/officeDocument/2006/relationships/hyperlink" Target="https://www.inei.gob.pe/media/MenuRecursivo/publicaciones_digitales/Est/Lib1866/libro.pdf" TargetMode="External"/><Relationship Id="rId29" Type="http://schemas.openxmlformats.org/officeDocument/2006/relationships/hyperlink" Target="https://centrodememoriahistorica.gov.co/wp-content/uploads/2021/06/Una-guerra-sin-edad.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icef.org/elsalvador/media/4611/file/Ley%20Crecer%20Juntos.pdf" TargetMode="External"/><Relationship Id="rId24" Type="http://schemas.openxmlformats.org/officeDocument/2006/relationships/hyperlink" Target="https://ecursos.segeplan.gob.gt/CAPP/documentos/41/PPPINA.pdf"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2.congreso.gob.pe/sicr/cendocbib/con2_uibd.nsf/785F189E4413AAE805257662007254DA/%24FILE/PERU_LEY_27337.pdf" TargetMode="External"/><Relationship Id="rId23" Type="http://schemas.openxmlformats.org/officeDocument/2006/relationships/hyperlink" Target="https://ecursos.segeplan.gob.gt/CAPP/documentos/41/PPPINA.pdf" TargetMode="External"/><Relationship Id="rId28" Type="http://schemas.openxmlformats.org/officeDocument/2006/relationships/hyperlink" Target="https://www.hrw.org/world-report/2020" TargetMode="External"/><Relationship Id="rId10" Type="http://schemas.openxmlformats.org/officeDocument/2006/relationships/hyperlink" Target="https://www.transparencia.gob.sv/descarga_archivo.php?id=MjMyNTMx" TargetMode="External"/><Relationship Id="rId19" Type="http://schemas.openxmlformats.org/officeDocument/2006/relationships/hyperlink" Target="https://www.inei.gob.pe/media/MenuRecursivo/publicaciones_digitales/Est/Lib1866/libro.pdf"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transparencia.gob.sv/descarga_archivo.php?id=MjMyNTMx" TargetMode="External"/><Relationship Id="rId14" Type="http://schemas.openxmlformats.org/officeDocument/2006/relationships/hyperlink" Target="https://elpais.com/america/2025-02-25/human-rights-watch-denuncia-que-el-gobierno-de-bukele-ordena-traslados-de-menores-a-carceles-para-adultos-en-el-salvador.html" TargetMode="External"/><Relationship Id="rId22" Type="http://schemas.openxmlformats.org/officeDocument/2006/relationships/hyperlink" Target="https://oig.cepal.org/sites/default/files/2003_d27-2003_gtm.pdf" TargetMode="External"/><Relationship Id="rId27" Type="http://schemas.openxmlformats.org/officeDocument/2006/relationships/hyperlink" Target="https://www.hrw.org/world-report/2020" TargetMode="Externa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zsYezyqa9yjoYtzH1AUJRz/tPw==">CgMxLjAyCWguMzBqMHpsbDINaC5oZ3FmbWp5b2x6bTIOaC5jd3RxdXppYzlpYnQyDmgucHpmMGhnbjF0Zm5zMg5oLnljNzYxaTVnOXB0bTgAciExc3pzU01PSlFSX2RTQWFLUzR5dzZpQ1llVjNuaC1GNXc=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31</Pages>
  <Words>12391</Words>
  <Characters>68152</Characters>
  <Application>Microsoft Office Word</Application>
  <DocSecurity>0</DocSecurity>
  <Lines>567</Lines>
  <Paragraphs>160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 Rodas Garzon</dc:creator>
  <cp:lastModifiedBy>ANA YOLANDA DURAN RODRIGUEZ</cp:lastModifiedBy>
  <cp:revision>3</cp:revision>
  <dcterms:created xsi:type="dcterms:W3CDTF">2025-05-28T21:28:00Z</dcterms:created>
  <dcterms:modified xsi:type="dcterms:W3CDTF">2025-05-28T22:08:00Z</dcterms:modified>
</cp:coreProperties>
</file>